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DEDE" w14:textId="681DEED0" w:rsidR="00C27AAE" w:rsidRPr="00F868F4" w:rsidRDefault="00C27AAE" w:rsidP="00C27AAE">
      <w:pPr>
        <w:pStyle w:val="Ttulo1"/>
        <w:spacing w:line="240" w:lineRule="auto"/>
        <w:ind w:left="3969"/>
        <w:jc w:val="both"/>
        <w:rPr>
          <w:szCs w:val="28"/>
        </w:rPr>
      </w:pPr>
      <w:bookmarkStart w:id="0" w:name="_Hlk115694078"/>
      <w:r w:rsidRPr="00F868F4">
        <w:rPr>
          <w:szCs w:val="28"/>
        </w:rPr>
        <w:t xml:space="preserve">ACCIÓN DE INCONSTITUCIONALIDAD </w:t>
      </w:r>
      <w:r w:rsidR="007720EE" w:rsidRPr="00F868F4">
        <w:rPr>
          <w:szCs w:val="28"/>
        </w:rPr>
        <w:t>47</w:t>
      </w:r>
      <w:r w:rsidRPr="00F868F4">
        <w:rPr>
          <w:szCs w:val="28"/>
        </w:rPr>
        <w:t>/202</w:t>
      </w:r>
      <w:r w:rsidR="007720EE" w:rsidRPr="00F868F4">
        <w:rPr>
          <w:szCs w:val="28"/>
        </w:rPr>
        <w:t>4</w:t>
      </w:r>
    </w:p>
    <w:p w14:paraId="233DA984" w14:textId="1DFDA267" w:rsidR="00C27AAE" w:rsidRPr="00F868F4" w:rsidRDefault="00C27AAE" w:rsidP="00C27AAE">
      <w:pPr>
        <w:pStyle w:val="Ttulo1"/>
        <w:spacing w:line="240" w:lineRule="auto"/>
        <w:ind w:left="3969"/>
        <w:jc w:val="both"/>
        <w:rPr>
          <w:szCs w:val="28"/>
        </w:rPr>
      </w:pPr>
      <w:r w:rsidRPr="00F868F4">
        <w:rPr>
          <w:szCs w:val="28"/>
        </w:rPr>
        <w:t>PROMOVENTE:</w:t>
      </w:r>
      <w:r w:rsidR="007720EE" w:rsidRPr="00F868F4">
        <w:rPr>
          <w:szCs w:val="28"/>
        </w:rPr>
        <w:t xml:space="preserve"> </w:t>
      </w:r>
      <w:r w:rsidR="00F53AF6" w:rsidRPr="00F868F4">
        <w:rPr>
          <w:szCs w:val="28"/>
        </w:rPr>
        <w:t>PARTIDO ACCIÓN NACIONAL</w:t>
      </w:r>
    </w:p>
    <w:p w14:paraId="05F4E034" w14:textId="77777777" w:rsidR="000D1551" w:rsidRDefault="000D1551" w:rsidP="00C27AAE">
      <w:pPr>
        <w:rPr>
          <w:rFonts w:ascii="Arial" w:hAnsi="Arial" w:cs="Arial"/>
          <w:b/>
          <w:sz w:val="28"/>
          <w:szCs w:val="28"/>
        </w:rPr>
      </w:pPr>
    </w:p>
    <w:p w14:paraId="113DB524" w14:textId="77777777" w:rsidR="00602D71" w:rsidRDefault="00602D71" w:rsidP="00602D71">
      <w:pPr>
        <w:spacing w:after="240"/>
        <w:rPr>
          <w:rFonts w:ascii="Arial" w:hAnsi="Arial" w:cs="Arial"/>
          <w:b/>
          <w:sz w:val="28"/>
          <w:szCs w:val="28"/>
        </w:rPr>
      </w:pPr>
      <w:r>
        <w:rPr>
          <w:rFonts w:ascii="Arial" w:hAnsi="Arial" w:cs="Arial"/>
          <w:b/>
          <w:sz w:val="28"/>
          <w:szCs w:val="28"/>
        </w:rPr>
        <w:t>PONENTE: MINISTRA ANA MARGARITA RÍOS FARJAT</w:t>
      </w:r>
    </w:p>
    <w:p w14:paraId="0F9CEFA5" w14:textId="32D42FE2" w:rsidR="00C27AAE" w:rsidRPr="00F868F4" w:rsidRDefault="00EE6D1A" w:rsidP="00C27AAE">
      <w:pPr>
        <w:rPr>
          <w:rFonts w:ascii="Arial" w:hAnsi="Arial" w:cs="Arial"/>
          <w:b/>
          <w:sz w:val="28"/>
          <w:szCs w:val="28"/>
        </w:rPr>
      </w:pPr>
      <w:r>
        <w:rPr>
          <w:rFonts w:ascii="Arial" w:hAnsi="Arial" w:cs="Arial"/>
          <w:b/>
          <w:sz w:val="28"/>
          <w:szCs w:val="28"/>
        </w:rPr>
        <w:t>ENCARGADO DEL ENGROSE</w:t>
      </w:r>
      <w:r w:rsidR="00C27AAE" w:rsidRPr="00F868F4">
        <w:rPr>
          <w:rFonts w:ascii="Arial" w:hAnsi="Arial" w:cs="Arial"/>
          <w:b/>
          <w:sz w:val="28"/>
          <w:szCs w:val="28"/>
        </w:rPr>
        <w:t xml:space="preserve">: </w:t>
      </w:r>
      <w:r w:rsidR="00E43B93">
        <w:rPr>
          <w:rFonts w:ascii="Arial" w:hAnsi="Arial" w:cs="Arial"/>
          <w:b/>
          <w:sz w:val="28"/>
          <w:szCs w:val="28"/>
        </w:rPr>
        <w:t xml:space="preserve">MINISTRO </w:t>
      </w:r>
      <w:r w:rsidR="00692039">
        <w:rPr>
          <w:rFonts w:ascii="Arial" w:hAnsi="Arial" w:cs="Arial"/>
          <w:b/>
          <w:sz w:val="28"/>
          <w:szCs w:val="28"/>
        </w:rPr>
        <w:t>JUAN LUIS GONZÁLEZ ALCÁNTARA CARRANCÁ</w:t>
      </w:r>
    </w:p>
    <w:p w14:paraId="12A23362" w14:textId="201E325F" w:rsidR="00C27AAE" w:rsidRPr="00F868F4" w:rsidRDefault="00C27AAE" w:rsidP="00C27AAE">
      <w:pPr>
        <w:rPr>
          <w:rFonts w:ascii="Arial" w:hAnsi="Arial" w:cs="Arial"/>
          <w:b/>
          <w:sz w:val="28"/>
          <w:szCs w:val="28"/>
        </w:rPr>
      </w:pPr>
    </w:p>
    <w:p w14:paraId="1852834B" w14:textId="77777777" w:rsidR="006D1CC5" w:rsidRPr="00E96A83" w:rsidRDefault="006D1CC5" w:rsidP="006D1CC5">
      <w:pPr>
        <w:rPr>
          <w:rFonts w:ascii="Arial" w:hAnsi="Arial" w:cs="Arial"/>
          <w:b/>
          <w:sz w:val="28"/>
          <w:szCs w:val="28"/>
        </w:rPr>
      </w:pPr>
      <w:r w:rsidRPr="00E96A83">
        <w:rPr>
          <w:rFonts w:ascii="Arial" w:hAnsi="Arial" w:cs="Arial"/>
          <w:b/>
          <w:sz w:val="28"/>
          <w:szCs w:val="28"/>
        </w:rPr>
        <w:t>SECRETARIOS: JUAN JAIME GONZÁLEZ VARAS Y AUGUSTO ARTURO COLÍN AGUADO</w:t>
      </w:r>
    </w:p>
    <w:p w14:paraId="73C126E8" w14:textId="77777777" w:rsidR="00C27AAE" w:rsidRDefault="00C27AAE" w:rsidP="00C27AAE">
      <w:pPr>
        <w:rPr>
          <w:rFonts w:ascii="Arial" w:hAnsi="Arial" w:cs="Arial"/>
          <w:b/>
          <w:sz w:val="28"/>
          <w:szCs w:val="28"/>
        </w:rPr>
      </w:pPr>
    </w:p>
    <w:p w14:paraId="0AC233ED" w14:textId="77777777" w:rsidR="00D71CE7" w:rsidRPr="00F868F4" w:rsidRDefault="00D71CE7" w:rsidP="00C27AAE">
      <w:pPr>
        <w:rPr>
          <w:rFonts w:ascii="Arial" w:hAnsi="Arial" w:cs="Arial"/>
          <w:b/>
          <w:sz w:val="28"/>
          <w:szCs w:val="28"/>
        </w:rPr>
      </w:pPr>
    </w:p>
    <w:p w14:paraId="53FE927C" w14:textId="77777777" w:rsidR="00C27AAE" w:rsidRPr="00F868F4" w:rsidRDefault="00C27AAE" w:rsidP="00C27AAE">
      <w:pPr>
        <w:jc w:val="center"/>
        <w:rPr>
          <w:rFonts w:ascii="Arial" w:hAnsi="Arial" w:cs="Arial"/>
          <w:b/>
          <w:bCs/>
          <w:sz w:val="28"/>
          <w:szCs w:val="28"/>
        </w:rPr>
      </w:pPr>
      <w:r w:rsidRPr="00F868F4">
        <w:rPr>
          <w:rFonts w:ascii="Arial" w:hAnsi="Arial" w:cs="Arial"/>
          <w:b/>
          <w:bCs/>
          <w:sz w:val="28"/>
          <w:szCs w:val="28"/>
        </w:rPr>
        <w:t>ÍNDICE TEMÁTICO</w:t>
      </w:r>
    </w:p>
    <w:p w14:paraId="52E9F0F9" w14:textId="2B1D4A08" w:rsidR="00425054" w:rsidRPr="00F868F4" w:rsidRDefault="00C27AAE" w:rsidP="00283DAC">
      <w:pPr>
        <w:spacing w:before="100" w:beforeAutospacing="1" w:after="100" w:afterAutospacing="1" w:line="360" w:lineRule="auto"/>
        <w:jc w:val="both"/>
        <w:rPr>
          <w:rFonts w:ascii="Arial" w:hAnsi="Arial" w:cs="Arial"/>
          <w:sz w:val="28"/>
          <w:szCs w:val="28"/>
        </w:rPr>
      </w:pPr>
      <w:r w:rsidRPr="00F868F4">
        <w:rPr>
          <w:rFonts w:ascii="Arial" w:hAnsi="Arial" w:cs="Arial"/>
          <w:b/>
          <w:bCs/>
          <w:sz w:val="28"/>
          <w:szCs w:val="28"/>
        </w:rPr>
        <w:t xml:space="preserve">Hechos: </w:t>
      </w:r>
      <w:r w:rsidR="00E90C72" w:rsidRPr="00F868F4">
        <w:rPr>
          <w:rFonts w:ascii="Arial" w:hAnsi="Arial" w:cs="Arial"/>
          <w:sz w:val="28"/>
          <w:szCs w:val="28"/>
        </w:rPr>
        <w:t xml:space="preserve">El </w:t>
      </w:r>
      <w:r w:rsidR="00697524" w:rsidRPr="00F868F4">
        <w:rPr>
          <w:rFonts w:ascii="Arial" w:hAnsi="Arial" w:cs="Arial"/>
          <w:sz w:val="28"/>
          <w:szCs w:val="28"/>
        </w:rPr>
        <w:t xml:space="preserve">Decreto </w:t>
      </w:r>
      <w:r w:rsidR="00B37056" w:rsidRPr="00F868F4">
        <w:rPr>
          <w:rFonts w:ascii="Arial" w:hAnsi="Arial" w:cs="Arial"/>
          <w:sz w:val="28"/>
          <w:szCs w:val="28"/>
        </w:rPr>
        <w:t xml:space="preserve">núm. 1624, mediante el cual </w:t>
      </w:r>
      <w:r w:rsidR="004F5975" w:rsidRPr="00F868F4">
        <w:rPr>
          <w:rFonts w:ascii="Arial" w:hAnsi="Arial" w:cs="Arial"/>
          <w:sz w:val="28"/>
          <w:szCs w:val="28"/>
        </w:rPr>
        <w:t xml:space="preserve">se </w:t>
      </w:r>
      <w:r w:rsidR="00B37056" w:rsidRPr="00F868F4">
        <w:rPr>
          <w:rFonts w:ascii="Arial" w:hAnsi="Arial" w:cs="Arial"/>
          <w:sz w:val="28"/>
          <w:szCs w:val="28"/>
        </w:rPr>
        <w:t>reforma la fracción I</w:t>
      </w:r>
      <w:r w:rsidR="001911D1" w:rsidRPr="00F868F4">
        <w:rPr>
          <w:rFonts w:ascii="Arial" w:hAnsi="Arial" w:cs="Arial"/>
          <w:sz w:val="28"/>
          <w:szCs w:val="28"/>
        </w:rPr>
        <w:t xml:space="preserve"> de la </w:t>
      </w:r>
      <w:r w:rsidR="00B37056" w:rsidRPr="00F868F4">
        <w:rPr>
          <w:rFonts w:ascii="Arial" w:hAnsi="Arial" w:cs="Arial"/>
          <w:sz w:val="28"/>
          <w:szCs w:val="28"/>
        </w:rPr>
        <w:t xml:space="preserve">base A del artículo 25 de la Constitución Política del Estado Libre y Soberano de Oaxaca, </w:t>
      </w:r>
      <w:r w:rsidR="00E95454" w:rsidRPr="00F868F4">
        <w:rPr>
          <w:rFonts w:ascii="Arial" w:hAnsi="Arial" w:cs="Arial"/>
          <w:sz w:val="28"/>
          <w:szCs w:val="28"/>
        </w:rPr>
        <w:t>fue publicado</w:t>
      </w:r>
      <w:r w:rsidR="00DC6D7B" w:rsidRPr="00F868F4">
        <w:rPr>
          <w:rFonts w:ascii="Arial" w:hAnsi="Arial" w:cs="Arial"/>
          <w:sz w:val="28"/>
          <w:szCs w:val="28"/>
        </w:rPr>
        <w:t xml:space="preserve"> </w:t>
      </w:r>
      <w:r w:rsidR="002612A5" w:rsidRPr="00F868F4">
        <w:rPr>
          <w:rFonts w:ascii="Arial" w:hAnsi="Arial" w:cs="Arial"/>
          <w:sz w:val="28"/>
          <w:szCs w:val="28"/>
        </w:rPr>
        <w:t>en el Periódico Oficial de la entidad el treinta de diciembre de dos mil veintitrés.</w:t>
      </w:r>
      <w:r w:rsidR="00F318B0" w:rsidRPr="00F868F4">
        <w:rPr>
          <w:rFonts w:ascii="Arial" w:hAnsi="Arial" w:cs="Arial"/>
          <w:sz w:val="28"/>
          <w:szCs w:val="28"/>
        </w:rPr>
        <w:t xml:space="preserve"> </w:t>
      </w:r>
      <w:r w:rsidR="00E12908" w:rsidRPr="00F868F4">
        <w:rPr>
          <w:rFonts w:ascii="Arial" w:hAnsi="Arial" w:cs="Arial"/>
          <w:sz w:val="28"/>
          <w:szCs w:val="28"/>
        </w:rPr>
        <w:t xml:space="preserve">La modificación </w:t>
      </w:r>
      <w:r w:rsidR="000A6F96" w:rsidRPr="00F868F4">
        <w:rPr>
          <w:rFonts w:ascii="Arial" w:hAnsi="Arial" w:cs="Arial"/>
          <w:sz w:val="28"/>
          <w:szCs w:val="28"/>
        </w:rPr>
        <w:t>consistió en establecer que las tres elecciones locales (</w:t>
      </w:r>
      <w:r w:rsidR="004038FE">
        <w:rPr>
          <w:rFonts w:ascii="Arial" w:hAnsi="Arial" w:cs="Arial"/>
          <w:sz w:val="28"/>
          <w:szCs w:val="28"/>
        </w:rPr>
        <w:t>g</w:t>
      </w:r>
      <w:r w:rsidR="000A6F96" w:rsidRPr="00F868F4">
        <w:rPr>
          <w:rFonts w:ascii="Arial" w:hAnsi="Arial" w:cs="Arial"/>
          <w:sz w:val="28"/>
          <w:szCs w:val="28"/>
        </w:rPr>
        <w:t xml:space="preserve">ubernatura, diputaciones locales y </w:t>
      </w:r>
      <w:r w:rsidR="004038FE">
        <w:rPr>
          <w:rFonts w:ascii="Arial" w:hAnsi="Arial" w:cs="Arial"/>
          <w:sz w:val="28"/>
          <w:szCs w:val="28"/>
        </w:rPr>
        <w:t>a</w:t>
      </w:r>
      <w:r w:rsidR="000A6F96" w:rsidRPr="00F868F4">
        <w:rPr>
          <w:rFonts w:ascii="Arial" w:hAnsi="Arial" w:cs="Arial"/>
          <w:sz w:val="28"/>
          <w:szCs w:val="28"/>
        </w:rPr>
        <w:t>yuntamientos)</w:t>
      </w:r>
      <w:r w:rsidR="00434964" w:rsidRPr="00F868F4">
        <w:rPr>
          <w:rFonts w:ascii="Arial" w:hAnsi="Arial" w:cs="Arial"/>
          <w:sz w:val="28"/>
          <w:szCs w:val="28"/>
        </w:rPr>
        <w:t xml:space="preserve"> se celebrarán de manera concurrente con los comicios federales.</w:t>
      </w:r>
    </w:p>
    <w:p w14:paraId="4FF20925" w14:textId="7C0A5166" w:rsidR="00425054" w:rsidRPr="00F868F4" w:rsidRDefault="001F5231" w:rsidP="00283DAC">
      <w:pPr>
        <w:spacing w:before="100" w:beforeAutospacing="1" w:after="100" w:afterAutospacing="1" w:line="360" w:lineRule="auto"/>
        <w:jc w:val="both"/>
        <w:rPr>
          <w:rFonts w:ascii="Arial" w:hAnsi="Arial" w:cs="Arial"/>
          <w:sz w:val="28"/>
          <w:szCs w:val="28"/>
        </w:rPr>
      </w:pPr>
      <w:r w:rsidRPr="00F868F4">
        <w:rPr>
          <w:rFonts w:ascii="Arial" w:hAnsi="Arial" w:cs="Arial"/>
          <w:sz w:val="28"/>
          <w:szCs w:val="28"/>
        </w:rPr>
        <w:t>C</w:t>
      </w:r>
      <w:r w:rsidR="00B17CB7" w:rsidRPr="00F868F4">
        <w:rPr>
          <w:rFonts w:ascii="Arial" w:hAnsi="Arial" w:cs="Arial"/>
          <w:sz w:val="28"/>
          <w:szCs w:val="28"/>
        </w:rPr>
        <w:t xml:space="preserve">on la finalidad de lograr </w:t>
      </w:r>
      <w:r w:rsidR="009D0F5E" w:rsidRPr="00F868F4">
        <w:rPr>
          <w:rFonts w:ascii="Arial" w:hAnsi="Arial" w:cs="Arial"/>
          <w:sz w:val="28"/>
          <w:szCs w:val="28"/>
        </w:rPr>
        <w:t>esa</w:t>
      </w:r>
      <w:r w:rsidR="00B17CB7" w:rsidRPr="00F868F4">
        <w:rPr>
          <w:rFonts w:ascii="Arial" w:hAnsi="Arial" w:cs="Arial"/>
          <w:sz w:val="28"/>
          <w:szCs w:val="28"/>
        </w:rPr>
        <w:t xml:space="preserve"> concurrencia </w:t>
      </w:r>
      <w:r w:rsidR="009D0F5E" w:rsidRPr="00F868F4">
        <w:rPr>
          <w:rFonts w:ascii="Arial" w:hAnsi="Arial" w:cs="Arial"/>
          <w:sz w:val="28"/>
          <w:szCs w:val="28"/>
        </w:rPr>
        <w:t>respecto a</w:t>
      </w:r>
      <w:r w:rsidR="00B17CB7" w:rsidRPr="00F868F4">
        <w:rPr>
          <w:rFonts w:ascii="Arial" w:hAnsi="Arial" w:cs="Arial"/>
          <w:sz w:val="28"/>
          <w:szCs w:val="28"/>
        </w:rPr>
        <w:t xml:space="preserve"> la elección de la Gubernatura, en </w:t>
      </w:r>
      <w:r w:rsidR="00EA7BD8" w:rsidRPr="00F868F4">
        <w:rPr>
          <w:rFonts w:ascii="Arial" w:hAnsi="Arial" w:cs="Arial"/>
          <w:sz w:val="28"/>
          <w:szCs w:val="28"/>
        </w:rPr>
        <w:t>el artículo cuarto</w:t>
      </w:r>
      <w:r w:rsidR="00B17CB7" w:rsidRPr="00F868F4">
        <w:rPr>
          <w:rFonts w:ascii="Arial" w:hAnsi="Arial" w:cs="Arial"/>
          <w:sz w:val="28"/>
          <w:szCs w:val="28"/>
        </w:rPr>
        <w:t xml:space="preserve"> transitori</w:t>
      </w:r>
      <w:r w:rsidR="00EA7BD8" w:rsidRPr="00F868F4">
        <w:rPr>
          <w:rFonts w:ascii="Arial" w:hAnsi="Arial" w:cs="Arial"/>
          <w:sz w:val="28"/>
          <w:szCs w:val="28"/>
        </w:rPr>
        <w:t>o</w:t>
      </w:r>
      <w:r w:rsidR="00C3193A" w:rsidRPr="00F868F4">
        <w:rPr>
          <w:rFonts w:ascii="Arial" w:hAnsi="Arial" w:cs="Arial"/>
          <w:sz w:val="28"/>
          <w:szCs w:val="28"/>
        </w:rPr>
        <w:t xml:space="preserve"> del decreto</w:t>
      </w:r>
      <w:r w:rsidR="00B17CB7" w:rsidRPr="00F868F4">
        <w:rPr>
          <w:rFonts w:ascii="Arial" w:hAnsi="Arial" w:cs="Arial"/>
          <w:sz w:val="28"/>
          <w:szCs w:val="28"/>
        </w:rPr>
        <w:t xml:space="preserve"> se </w:t>
      </w:r>
      <w:r w:rsidR="00C3193A" w:rsidRPr="00F868F4">
        <w:rPr>
          <w:rFonts w:ascii="Arial" w:hAnsi="Arial" w:cs="Arial"/>
          <w:sz w:val="28"/>
          <w:szCs w:val="28"/>
        </w:rPr>
        <w:t>dispuso</w:t>
      </w:r>
      <w:r w:rsidR="001E4F05" w:rsidRPr="00F868F4">
        <w:rPr>
          <w:rFonts w:ascii="Arial" w:hAnsi="Arial" w:cs="Arial"/>
          <w:sz w:val="28"/>
          <w:szCs w:val="28"/>
        </w:rPr>
        <w:t xml:space="preserve"> que, por única ocasión, la</w:t>
      </w:r>
      <w:r w:rsidR="00425054" w:rsidRPr="00F868F4">
        <w:rPr>
          <w:rFonts w:ascii="Arial" w:hAnsi="Arial" w:cs="Arial"/>
          <w:sz w:val="28"/>
          <w:szCs w:val="28"/>
        </w:rPr>
        <w:t xml:space="preserve"> próxima</w:t>
      </w:r>
      <w:r w:rsidR="001E4F05" w:rsidRPr="00F868F4">
        <w:rPr>
          <w:rFonts w:ascii="Arial" w:hAnsi="Arial" w:cs="Arial"/>
          <w:sz w:val="28"/>
          <w:szCs w:val="28"/>
        </w:rPr>
        <w:t xml:space="preserve"> persona electa para </w:t>
      </w:r>
      <w:r w:rsidR="00751C0C" w:rsidRPr="00F868F4">
        <w:rPr>
          <w:rFonts w:ascii="Arial" w:hAnsi="Arial" w:cs="Arial"/>
          <w:sz w:val="28"/>
          <w:szCs w:val="28"/>
        </w:rPr>
        <w:t>dicho</w:t>
      </w:r>
      <w:r w:rsidR="001E4F05" w:rsidRPr="00F868F4">
        <w:rPr>
          <w:rFonts w:ascii="Arial" w:hAnsi="Arial" w:cs="Arial"/>
          <w:sz w:val="28"/>
          <w:szCs w:val="28"/>
        </w:rPr>
        <w:t xml:space="preserve"> </w:t>
      </w:r>
      <w:r w:rsidR="00190A8C" w:rsidRPr="00F868F4">
        <w:rPr>
          <w:rFonts w:ascii="Arial" w:hAnsi="Arial" w:cs="Arial"/>
          <w:sz w:val="28"/>
          <w:szCs w:val="28"/>
        </w:rPr>
        <w:t>en</w:t>
      </w:r>
      <w:r w:rsidR="001E4F05" w:rsidRPr="00F868F4">
        <w:rPr>
          <w:rFonts w:ascii="Arial" w:hAnsi="Arial" w:cs="Arial"/>
          <w:sz w:val="28"/>
          <w:szCs w:val="28"/>
        </w:rPr>
        <w:t xml:space="preserve">cargo </w:t>
      </w:r>
      <w:r w:rsidR="00425054" w:rsidRPr="00F868F4">
        <w:rPr>
          <w:rFonts w:ascii="Arial" w:hAnsi="Arial" w:cs="Arial"/>
          <w:sz w:val="28"/>
          <w:szCs w:val="28"/>
        </w:rPr>
        <w:t>iniciará su periodo el uno de diciembre de dos mil veintiocho y concluirá el treinta de noviembre de dos mil treinta; es decir,</w:t>
      </w:r>
      <w:r w:rsidR="00965A96" w:rsidRPr="00F868F4">
        <w:rPr>
          <w:rFonts w:ascii="Arial" w:hAnsi="Arial" w:cs="Arial"/>
          <w:sz w:val="28"/>
          <w:szCs w:val="28"/>
        </w:rPr>
        <w:t xml:space="preserve"> </w:t>
      </w:r>
      <w:r w:rsidR="002B6FE9" w:rsidRPr="00F868F4">
        <w:rPr>
          <w:rFonts w:ascii="Arial" w:hAnsi="Arial" w:cs="Arial"/>
          <w:sz w:val="28"/>
          <w:szCs w:val="28"/>
        </w:rPr>
        <w:t>tendrá una duración excepcional de dos años</w:t>
      </w:r>
      <w:r w:rsidR="008B0AE1" w:rsidRPr="00F868F4">
        <w:rPr>
          <w:rFonts w:ascii="Arial" w:hAnsi="Arial" w:cs="Arial"/>
          <w:sz w:val="28"/>
          <w:szCs w:val="28"/>
        </w:rPr>
        <w:t>, en lugar d</w:t>
      </w:r>
      <w:r w:rsidR="002B6FE9" w:rsidRPr="00F868F4">
        <w:rPr>
          <w:rFonts w:ascii="Arial" w:hAnsi="Arial" w:cs="Arial"/>
          <w:sz w:val="28"/>
          <w:szCs w:val="28"/>
        </w:rPr>
        <w:t>el periodo ordinario de seis años.</w:t>
      </w:r>
    </w:p>
    <w:p w14:paraId="4E7259CD" w14:textId="1FAE1EC1" w:rsidR="00EA3982" w:rsidRPr="00F868F4" w:rsidRDefault="00737CF6" w:rsidP="00EA3982">
      <w:pPr>
        <w:spacing w:before="100" w:beforeAutospacing="1" w:after="100" w:afterAutospacing="1" w:line="360" w:lineRule="auto"/>
        <w:jc w:val="both"/>
        <w:rPr>
          <w:rFonts w:ascii="Arial" w:hAnsi="Arial" w:cs="Arial"/>
          <w:sz w:val="28"/>
          <w:szCs w:val="28"/>
        </w:rPr>
      </w:pPr>
      <w:r w:rsidRPr="00F868F4">
        <w:rPr>
          <w:rFonts w:ascii="Arial" w:hAnsi="Arial" w:cs="Arial"/>
          <w:sz w:val="28"/>
          <w:szCs w:val="28"/>
        </w:rPr>
        <w:t>El Partido Acción Nacional</w:t>
      </w:r>
      <w:r w:rsidR="00B352B0" w:rsidRPr="00F868F4">
        <w:rPr>
          <w:rFonts w:ascii="Arial" w:hAnsi="Arial" w:cs="Arial"/>
          <w:sz w:val="28"/>
          <w:szCs w:val="28"/>
        </w:rPr>
        <w:t xml:space="preserve">, a través del </w:t>
      </w:r>
      <w:r w:rsidR="00A11E46" w:rsidRPr="00F868F4">
        <w:rPr>
          <w:rFonts w:ascii="Arial" w:hAnsi="Arial" w:cs="Arial"/>
          <w:sz w:val="28"/>
          <w:szCs w:val="28"/>
        </w:rPr>
        <w:t xml:space="preserve">Presidente de su Comité Ejecutivo Nacional, promueve la presente acción de inconstitucionalidad en contra del Decreto núm. 1624, </w:t>
      </w:r>
      <w:r w:rsidR="004D71B1" w:rsidRPr="00F868F4">
        <w:rPr>
          <w:rFonts w:ascii="Arial" w:hAnsi="Arial" w:cs="Arial"/>
          <w:sz w:val="28"/>
          <w:szCs w:val="28"/>
        </w:rPr>
        <w:t xml:space="preserve">por considerar que </w:t>
      </w:r>
      <w:r w:rsidR="00891880" w:rsidRPr="00F868F4">
        <w:rPr>
          <w:rFonts w:ascii="Arial" w:hAnsi="Arial" w:cs="Arial"/>
          <w:sz w:val="28"/>
          <w:szCs w:val="28"/>
        </w:rPr>
        <w:t xml:space="preserve">contraviene </w:t>
      </w:r>
      <w:r w:rsidR="003052B0" w:rsidRPr="00F868F4">
        <w:rPr>
          <w:rFonts w:ascii="Arial" w:hAnsi="Arial" w:cs="Arial"/>
          <w:sz w:val="28"/>
          <w:szCs w:val="28"/>
        </w:rPr>
        <w:t xml:space="preserve">diversos </w:t>
      </w:r>
      <w:r w:rsidR="002F7790" w:rsidRPr="00F868F4">
        <w:rPr>
          <w:rFonts w:ascii="Arial" w:hAnsi="Arial" w:cs="Arial"/>
          <w:sz w:val="28"/>
          <w:szCs w:val="28"/>
        </w:rPr>
        <w:lastRenderedPageBreak/>
        <w:t>mandatos previstos en la Constitución Política del país</w:t>
      </w:r>
      <w:r w:rsidR="003052B0" w:rsidRPr="00F868F4">
        <w:rPr>
          <w:rFonts w:ascii="Arial" w:hAnsi="Arial" w:cs="Arial"/>
          <w:sz w:val="28"/>
          <w:szCs w:val="28"/>
        </w:rPr>
        <w:t>, entre los que destacan:</w:t>
      </w:r>
      <w:r w:rsidR="002F7790" w:rsidRPr="00F868F4">
        <w:rPr>
          <w:rFonts w:ascii="Arial" w:hAnsi="Arial" w:cs="Arial"/>
          <w:sz w:val="28"/>
          <w:szCs w:val="28"/>
        </w:rPr>
        <w:t xml:space="preserve"> </w:t>
      </w:r>
      <w:r w:rsidR="002F7790" w:rsidRPr="00F868F4">
        <w:rPr>
          <w:rFonts w:ascii="Arial" w:hAnsi="Arial" w:cs="Arial"/>
          <w:b/>
          <w:bCs/>
          <w:sz w:val="28"/>
          <w:szCs w:val="28"/>
        </w:rPr>
        <w:t>i)</w:t>
      </w:r>
      <w:r w:rsidR="002F7790" w:rsidRPr="00F868F4">
        <w:rPr>
          <w:rFonts w:ascii="Arial" w:hAnsi="Arial" w:cs="Arial"/>
          <w:sz w:val="28"/>
          <w:szCs w:val="28"/>
        </w:rPr>
        <w:t xml:space="preserve"> </w:t>
      </w:r>
      <w:r w:rsidR="00695A03" w:rsidRPr="00F868F4">
        <w:rPr>
          <w:rFonts w:ascii="Arial" w:hAnsi="Arial" w:cs="Arial"/>
          <w:sz w:val="28"/>
          <w:szCs w:val="28"/>
        </w:rPr>
        <w:t xml:space="preserve">el principio de paridad de género, </w:t>
      </w:r>
      <w:r w:rsidR="00C865C0" w:rsidRPr="00F868F4">
        <w:rPr>
          <w:rFonts w:ascii="Arial" w:hAnsi="Arial" w:cs="Arial"/>
          <w:sz w:val="28"/>
          <w:szCs w:val="28"/>
        </w:rPr>
        <w:t>pues</w:t>
      </w:r>
      <w:r w:rsidR="00CF2430" w:rsidRPr="00F868F4">
        <w:rPr>
          <w:rFonts w:ascii="Arial" w:hAnsi="Arial" w:cs="Arial"/>
          <w:sz w:val="28"/>
          <w:szCs w:val="28"/>
        </w:rPr>
        <w:t xml:space="preserve"> la próxima Gubernatura debe </w:t>
      </w:r>
      <w:r w:rsidR="00C865C0" w:rsidRPr="00F868F4">
        <w:rPr>
          <w:rFonts w:ascii="Arial" w:hAnsi="Arial" w:cs="Arial"/>
          <w:sz w:val="28"/>
          <w:szCs w:val="28"/>
        </w:rPr>
        <w:t>corresponder a una mujer, por lo que</w:t>
      </w:r>
      <w:r w:rsidR="00EC5A91" w:rsidRPr="00F868F4">
        <w:rPr>
          <w:rFonts w:ascii="Arial" w:hAnsi="Arial" w:cs="Arial"/>
          <w:sz w:val="28"/>
          <w:szCs w:val="28"/>
        </w:rPr>
        <w:t xml:space="preserve"> la reducción a un periodo de dos años afectaría a las mujeres que pretendan participar; </w:t>
      </w:r>
      <w:r w:rsidR="00DF0B8D" w:rsidRPr="00F868F4">
        <w:rPr>
          <w:rFonts w:ascii="Arial" w:hAnsi="Arial" w:cs="Arial"/>
          <w:b/>
          <w:bCs/>
          <w:sz w:val="28"/>
          <w:szCs w:val="28"/>
        </w:rPr>
        <w:t>ii)</w:t>
      </w:r>
      <w:r w:rsidR="00DF0B8D" w:rsidRPr="00F868F4">
        <w:rPr>
          <w:rFonts w:ascii="Arial" w:hAnsi="Arial" w:cs="Arial"/>
          <w:sz w:val="28"/>
          <w:szCs w:val="28"/>
        </w:rPr>
        <w:t xml:space="preserve"> </w:t>
      </w:r>
      <w:r w:rsidR="00856A1B" w:rsidRPr="00F868F4">
        <w:rPr>
          <w:rFonts w:ascii="Arial" w:hAnsi="Arial" w:cs="Arial"/>
          <w:sz w:val="28"/>
          <w:szCs w:val="28"/>
        </w:rPr>
        <w:t xml:space="preserve">la exigencia de realizar una consulta previa a los pueblos y comunidades indígenas, </w:t>
      </w:r>
      <w:r w:rsidR="0062217A" w:rsidRPr="00F868F4">
        <w:rPr>
          <w:rFonts w:ascii="Arial" w:hAnsi="Arial" w:cs="Arial"/>
          <w:sz w:val="28"/>
          <w:szCs w:val="28"/>
        </w:rPr>
        <w:t xml:space="preserve">debido a que el decreto versa sobre un cambio del periodo de gobierno y el estado de Oaxaca tiene una población netamente indígena, y </w:t>
      </w:r>
      <w:r w:rsidR="0062217A" w:rsidRPr="00F868F4">
        <w:rPr>
          <w:rFonts w:ascii="Arial" w:hAnsi="Arial" w:cs="Arial"/>
          <w:b/>
          <w:bCs/>
          <w:sz w:val="28"/>
          <w:szCs w:val="28"/>
        </w:rPr>
        <w:t>iii)</w:t>
      </w:r>
      <w:r w:rsidR="0062217A" w:rsidRPr="00F868F4">
        <w:rPr>
          <w:rFonts w:ascii="Arial" w:hAnsi="Arial" w:cs="Arial"/>
          <w:sz w:val="28"/>
          <w:szCs w:val="28"/>
        </w:rPr>
        <w:t xml:space="preserve"> </w:t>
      </w:r>
      <w:r w:rsidR="00D77D0E" w:rsidRPr="00F868F4">
        <w:rPr>
          <w:rFonts w:ascii="Arial" w:hAnsi="Arial" w:cs="Arial"/>
          <w:sz w:val="28"/>
          <w:szCs w:val="28"/>
        </w:rPr>
        <w:t>los principios</w:t>
      </w:r>
      <w:r w:rsidR="008A1EB8" w:rsidRPr="00F868F4">
        <w:rPr>
          <w:rFonts w:ascii="Arial" w:hAnsi="Arial" w:cs="Arial"/>
          <w:sz w:val="28"/>
          <w:szCs w:val="28"/>
        </w:rPr>
        <w:t xml:space="preserve"> de supremacía constitucional</w:t>
      </w:r>
      <w:r w:rsidR="00B4384D" w:rsidRPr="00F868F4">
        <w:rPr>
          <w:rFonts w:ascii="Arial" w:hAnsi="Arial" w:cs="Arial"/>
          <w:sz w:val="28"/>
          <w:szCs w:val="28"/>
        </w:rPr>
        <w:t>, certeza jurídica y</w:t>
      </w:r>
      <w:r w:rsidR="00D77D0E" w:rsidRPr="00F868F4">
        <w:rPr>
          <w:rFonts w:ascii="Arial" w:hAnsi="Arial" w:cs="Arial"/>
          <w:sz w:val="28"/>
          <w:szCs w:val="28"/>
        </w:rPr>
        <w:t xml:space="preserve"> legalidad</w:t>
      </w:r>
      <w:r w:rsidR="003C6ADB" w:rsidRPr="00F868F4">
        <w:rPr>
          <w:rFonts w:ascii="Arial" w:hAnsi="Arial" w:cs="Arial"/>
          <w:sz w:val="28"/>
          <w:szCs w:val="28"/>
        </w:rPr>
        <w:t xml:space="preserve">, </w:t>
      </w:r>
      <w:r w:rsidR="00954D1B" w:rsidRPr="00F868F4">
        <w:rPr>
          <w:rFonts w:ascii="Arial" w:hAnsi="Arial" w:cs="Arial"/>
          <w:sz w:val="28"/>
          <w:szCs w:val="28"/>
        </w:rPr>
        <w:t>pues se establece un periodo de la Gubernatura menor a los seis años que exige el artículo 116</w:t>
      </w:r>
      <w:r w:rsidR="001C6F44" w:rsidRPr="00F868F4">
        <w:rPr>
          <w:rFonts w:ascii="Arial" w:hAnsi="Arial" w:cs="Arial"/>
          <w:sz w:val="28"/>
          <w:szCs w:val="28"/>
        </w:rPr>
        <w:t xml:space="preserve"> </w:t>
      </w:r>
      <w:r w:rsidR="00954D1B" w:rsidRPr="00F868F4">
        <w:rPr>
          <w:rFonts w:ascii="Arial" w:hAnsi="Arial" w:cs="Arial"/>
          <w:sz w:val="28"/>
          <w:szCs w:val="28"/>
        </w:rPr>
        <w:t>de la Constitución.</w:t>
      </w:r>
    </w:p>
    <w:p w14:paraId="4BCDEE24" w14:textId="322147EF" w:rsidR="00C27AAE" w:rsidRPr="00F868F4" w:rsidRDefault="00B36F5A" w:rsidP="00283DAC">
      <w:pPr>
        <w:spacing w:before="100" w:beforeAutospacing="1" w:after="100" w:afterAutospacing="1" w:line="360" w:lineRule="auto"/>
        <w:jc w:val="both"/>
        <w:rPr>
          <w:rFonts w:ascii="Arial" w:hAnsi="Arial" w:cs="Arial"/>
          <w:sz w:val="28"/>
          <w:szCs w:val="28"/>
        </w:rPr>
      </w:pPr>
      <w:r w:rsidRPr="00F868F4">
        <w:rPr>
          <w:rFonts w:ascii="Arial" w:hAnsi="Arial" w:cs="Arial"/>
          <w:sz w:val="28"/>
          <w:szCs w:val="28"/>
        </w:rPr>
        <w:t>E</w:t>
      </w:r>
      <w:r w:rsidR="007C70FA" w:rsidRPr="00F868F4">
        <w:rPr>
          <w:rFonts w:ascii="Arial" w:hAnsi="Arial" w:cs="Arial"/>
          <w:sz w:val="28"/>
          <w:szCs w:val="28"/>
        </w:rPr>
        <w:t>n esta sentencia se desarrolla el</w:t>
      </w:r>
      <w:r w:rsidRPr="00F868F4">
        <w:rPr>
          <w:rFonts w:ascii="Arial" w:hAnsi="Arial" w:cs="Arial"/>
          <w:sz w:val="28"/>
          <w:szCs w:val="28"/>
        </w:rPr>
        <w:t xml:space="preserve"> análisis </w:t>
      </w:r>
      <w:r w:rsidR="00F27073" w:rsidRPr="00F868F4">
        <w:rPr>
          <w:rFonts w:ascii="Arial" w:hAnsi="Arial" w:cs="Arial"/>
          <w:sz w:val="28"/>
          <w:szCs w:val="28"/>
        </w:rPr>
        <w:t>de los problemas jurídicos</w:t>
      </w:r>
      <w:r w:rsidR="00C96E60" w:rsidRPr="00F868F4">
        <w:rPr>
          <w:rFonts w:ascii="Arial" w:hAnsi="Arial" w:cs="Arial"/>
          <w:sz w:val="28"/>
          <w:szCs w:val="28"/>
        </w:rPr>
        <w:t xml:space="preserve"> formulados</w:t>
      </w:r>
      <w:r w:rsidR="00F27073" w:rsidRPr="00F868F4">
        <w:rPr>
          <w:rFonts w:ascii="Arial" w:hAnsi="Arial" w:cs="Arial"/>
          <w:sz w:val="28"/>
          <w:szCs w:val="28"/>
        </w:rPr>
        <w:t xml:space="preserve"> siguiendo la estructura que se </w:t>
      </w:r>
      <w:r w:rsidR="00614BBC" w:rsidRPr="00F868F4">
        <w:rPr>
          <w:rFonts w:ascii="Arial" w:hAnsi="Arial" w:cs="Arial"/>
          <w:sz w:val="28"/>
          <w:szCs w:val="28"/>
        </w:rPr>
        <w:t>presenta</w:t>
      </w:r>
      <w:r w:rsidR="00F27073" w:rsidRPr="00F868F4">
        <w:rPr>
          <w:rFonts w:ascii="Arial" w:hAnsi="Arial" w:cs="Arial"/>
          <w:sz w:val="28"/>
          <w:szCs w:val="28"/>
        </w:rPr>
        <w:t xml:space="preserve"> </w:t>
      </w:r>
      <w:r w:rsidR="00614BBC" w:rsidRPr="00F868F4">
        <w:rPr>
          <w:rFonts w:ascii="Arial" w:hAnsi="Arial" w:cs="Arial"/>
          <w:sz w:val="28"/>
          <w:szCs w:val="28"/>
        </w:rPr>
        <w:t>a continuación</w:t>
      </w:r>
      <w:r w:rsidR="00D214CC" w:rsidRPr="00F868F4">
        <w:rPr>
          <w:rFonts w:ascii="Arial" w:hAnsi="Arial" w:cs="Arial"/>
          <w:sz w:val="28"/>
          <w:szCs w:val="28"/>
        </w:rPr>
        <w:t>:</w:t>
      </w:r>
    </w:p>
    <w:tbl>
      <w:tblPr>
        <w:tblStyle w:val="Tablaconcuadrcula"/>
        <w:tblW w:w="9298" w:type="dxa"/>
        <w:tblLayout w:type="fixed"/>
        <w:tblLook w:val="04A0" w:firstRow="1" w:lastRow="0" w:firstColumn="1" w:lastColumn="0" w:noHBand="0" w:noVBand="1"/>
      </w:tblPr>
      <w:tblGrid>
        <w:gridCol w:w="678"/>
        <w:gridCol w:w="4026"/>
        <w:gridCol w:w="3737"/>
        <w:gridCol w:w="857"/>
      </w:tblGrid>
      <w:tr w:rsidR="002E5F31" w:rsidRPr="00F868F4" w14:paraId="6BC40E2C" w14:textId="77777777">
        <w:trPr>
          <w:trHeight w:val="641"/>
        </w:trPr>
        <w:tc>
          <w:tcPr>
            <w:tcW w:w="678" w:type="dxa"/>
            <w:shd w:val="clear" w:color="auto" w:fill="D9D9D9" w:themeFill="background1" w:themeFillShade="D9"/>
            <w:vAlign w:val="center"/>
          </w:tcPr>
          <w:p w14:paraId="3635C16E" w14:textId="77777777" w:rsidR="00C27AAE" w:rsidRPr="00F868F4" w:rsidRDefault="00C27AAE">
            <w:pPr>
              <w:jc w:val="center"/>
              <w:rPr>
                <w:rFonts w:ascii="Arial" w:hAnsi="Arial" w:cs="Arial"/>
                <w:b/>
                <w:bCs/>
                <w:color w:val="000000" w:themeColor="text1"/>
              </w:rPr>
            </w:pPr>
          </w:p>
        </w:tc>
        <w:tc>
          <w:tcPr>
            <w:tcW w:w="4026" w:type="dxa"/>
            <w:shd w:val="clear" w:color="auto" w:fill="D9D9D9" w:themeFill="background1" w:themeFillShade="D9"/>
            <w:vAlign w:val="center"/>
          </w:tcPr>
          <w:p w14:paraId="474A7772" w14:textId="77777777" w:rsidR="00C27AAE" w:rsidRPr="00F868F4" w:rsidRDefault="00C27AAE">
            <w:pPr>
              <w:jc w:val="center"/>
              <w:rPr>
                <w:rFonts w:ascii="Arial" w:hAnsi="Arial" w:cs="Arial"/>
                <w:b/>
                <w:color w:val="000000" w:themeColor="text1"/>
              </w:rPr>
            </w:pPr>
            <w:r w:rsidRPr="00F868F4">
              <w:rPr>
                <w:rFonts w:ascii="Arial" w:hAnsi="Arial" w:cs="Arial"/>
                <w:b/>
                <w:color w:val="000000" w:themeColor="text1"/>
              </w:rPr>
              <w:t>Apartado</w:t>
            </w:r>
          </w:p>
        </w:tc>
        <w:tc>
          <w:tcPr>
            <w:tcW w:w="3737" w:type="dxa"/>
            <w:shd w:val="clear" w:color="auto" w:fill="D9D9D9" w:themeFill="background1" w:themeFillShade="D9"/>
            <w:vAlign w:val="center"/>
          </w:tcPr>
          <w:p w14:paraId="0ED52C21" w14:textId="77777777" w:rsidR="00C27AAE" w:rsidRPr="00F868F4" w:rsidRDefault="00C27AAE" w:rsidP="00283DAC">
            <w:pPr>
              <w:jc w:val="center"/>
              <w:rPr>
                <w:rFonts w:ascii="Arial" w:hAnsi="Arial" w:cs="Arial"/>
                <w:b/>
                <w:color w:val="000000" w:themeColor="text1"/>
              </w:rPr>
            </w:pPr>
            <w:r w:rsidRPr="00F868F4">
              <w:rPr>
                <w:rFonts w:ascii="Arial" w:hAnsi="Arial" w:cs="Arial"/>
                <w:b/>
                <w:color w:val="000000" w:themeColor="text1"/>
              </w:rPr>
              <w:t>Criterio y decisión</w:t>
            </w:r>
          </w:p>
        </w:tc>
        <w:tc>
          <w:tcPr>
            <w:tcW w:w="857" w:type="dxa"/>
            <w:shd w:val="clear" w:color="auto" w:fill="D9D9D9" w:themeFill="background1" w:themeFillShade="D9"/>
            <w:vAlign w:val="center"/>
          </w:tcPr>
          <w:p w14:paraId="230AAE0E" w14:textId="6F088768" w:rsidR="00C27AAE" w:rsidRPr="00F868F4" w:rsidRDefault="00C27AAE">
            <w:pPr>
              <w:jc w:val="center"/>
              <w:rPr>
                <w:rFonts w:ascii="Arial" w:hAnsi="Arial" w:cs="Arial"/>
                <w:b/>
                <w:color w:val="000000" w:themeColor="text1"/>
              </w:rPr>
            </w:pPr>
            <w:r w:rsidRPr="00F868F4">
              <w:rPr>
                <w:rFonts w:ascii="Arial" w:hAnsi="Arial" w:cs="Arial"/>
                <w:b/>
                <w:color w:val="000000" w:themeColor="text1"/>
              </w:rPr>
              <w:t>Pág.</w:t>
            </w:r>
          </w:p>
        </w:tc>
      </w:tr>
      <w:tr w:rsidR="002E5F31" w:rsidRPr="00F868F4" w14:paraId="3ACAE718" w14:textId="77777777">
        <w:trPr>
          <w:trHeight w:val="569"/>
        </w:trPr>
        <w:tc>
          <w:tcPr>
            <w:tcW w:w="678" w:type="dxa"/>
            <w:vAlign w:val="center"/>
          </w:tcPr>
          <w:p w14:paraId="5B60ABF0" w14:textId="77777777" w:rsidR="00C27AAE" w:rsidRPr="00F868F4" w:rsidRDefault="00C27AAE">
            <w:pPr>
              <w:jc w:val="center"/>
              <w:rPr>
                <w:rFonts w:ascii="Arial" w:hAnsi="Arial" w:cs="Arial"/>
                <w:b/>
                <w:bCs/>
                <w:color w:val="000000" w:themeColor="text1"/>
              </w:rPr>
            </w:pPr>
            <w:r w:rsidRPr="00F868F4">
              <w:rPr>
                <w:rFonts w:ascii="Arial" w:hAnsi="Arial" w:cs="Arial"/>
                <w:b/>
                <w:bCs/>
                <w:color w:val="000000" w:themeColor="text1"/>
              </w:rPr>
              <w:t>I.</w:t>
            </w:r>
          </w:p>
        </w:tc>
        <w:tc>
          <w:tcPr>
            <w:tcW w:w="4026" w:type="dxa"/>
            <w:vAlign w:val="center"/>
          </w:tcPr>
          <w:p w14:paraId="26B0FD11" w14:textId="77777777" w:rsidR="00C27AAE" w:rsidRPr="00F868F4" w:rsidRDefault="00C27AAE">
            <w:pPr>
              <w:jc w:val="center"/>
              <w:rPr>
                <w:rFonts w:ascii="Arial" w:hAnsi="Arial" w:cs="Arial"/>
                <w:b/>
                <w:color w:val="000000" w:themeColor="text1"/>
              </w:rPr>
            </w:pPr>
            <w:r w:rsidRPr="00F868F4">
              <w:rPr>
                <w:rFonts w:ascii="Arial" w:hAnsi="Arial" w:cs="Arial"/>
                <w:b/>
                <w:color w:val="000000" w:themeColor="text1"/>
              </w:rPr>
              <w:t>COMPETENCIA</w:t>
            </w:r>
          </w:p>
        </w:tc>
        <w:tc>
          <w:tcPr>
            <w:tcW w:w="3737" w:type="dxa"/>
          </w:tcPr>
          <w:p w14:paraId="6EE937B6" w14:textId="77777777" w:rsidR="00C27AAE" w:rsidRPr="00F868F4" w:rsidRDefault="00C27AAE" w:rsidP="00460E77">
            <w:pPr>
              <w:spacing w:before="120" w:after="120"/>
              <w:jc w:val="both"/>
              <w:rPr>
                <w:rFonts w:ascii="Arial" w:hAnsi="Arial" w:cs="Arial"/>
                <w:color w:val="000000" w:themeColor="text1"/>
              </w:rPr>
            </w:pPr>
            <w:r w:rsidRPr="00F868F4">
              <w:rPr>
                <w:rFonts w:ascii="Arial" w:hAnsi="Arial" w:cs="Arial"/>
                <w:color w:val="000000" w:themeColor="text1"/>
              </w:rPr>
              <w:t>El Pleno de la SCJN es competente para conocer del presente asunto.</w:t>
            </w:r>
          </w:p>
        </w:tc>
        <w:tc>
          <w:tcPr>
            <w:tcW w:w="857" w:type="dxa"/>
            <w:vAlign w:val="center"/>
          </w:tcPr>
          <w:p w14:paraId="040B2659" w14:textId="12FD4065" w:rsidR="00C27AAE" w:rsidRPr="00F868F4" w:rsidRDefault="001B7850">
            <w:pPr>
              <w:jc w:val="center"/>
              <w:rPr>
                <w:rFonts w:ascii="Arial" w:hAnsi="Arial" w:cs="Arial"/>
                <w:color w:val="000000" w:themeColor="text1"/>
              </w:rPr>
            </w:pPr>
            <w:r>
              <w:rPr>
                <w:rFonts w:ascii="Arial" w:hAnsi="Arial" w:cs="Arial"/>
                <w:color w:val="000000" w:themeColor="text1"/>
              </w:rPr>
              <w:t>10</w:t>
            </w:r>
          </w:p>
        </w:tc>
      </w:tr>
      <w:tr w:rsidR="002E5F31" w:rsidRPr="00F868F4" w14:paraId="600E6AF8" w14:textId="77777777" w:rsidTr="00D06D60">
        <w:trPr>
          <w:trHeight w:val="223"/>
        </w:trPr>
        <w:tc>
          <w:tcPr>
            <w:tcW w:w="678" w:type="dxa"/>
            <w:vAlign w:val="center"/>
          </w:tcPr>
          <w:p w14:paraId="1510577E" w14:textId="77777777" w:rsidR="00C27AAE" w:rsidRPr="00F868F4" w:rsidRDefault="00C27AAE">
            <w:pPr>
              <w:jc w:val="center"/>
              <w:rPr>
                <w:rFonts w:ascii="Arial" w:hAnsi="Arial" w:cs="Arial"/>
                <w:b/>
                <w:bCs/>
                <w:color w:val="000000" w:themeColor="text1"/>
              </w:rPr>
            </w:pPr>
            <w:r w:rsidRPr="00F868F4">
              <w:rPr>
                <w:rFonts w:ascii="Arial" w:hAnsi="Arial" w:cs="Arial"/>
                <w:b/>
                <w:bCs/>
                <w:color w:val="000000" w:themeColor="text1"/>
              </w:rPr>
              <w:t>II.</w:t>
            </w:r>
          </w:p>
        </w:tc>
        <w:tc>
          <w:tcPr>
            <w:tcW w:w="4026" w:type="dxa"/>
            <w:vAlign w:val="center"/>
          </w:tcPr>
          <w:p w14:paraId="2EF93319" w14:textId="427C7B77" w:rsidR="00C27AAE" w:rsidRPr="00F868F4" w:rsidRDefault="00C27AAE">
            <w:pPr>
              <w:jc w:val="center"/>
              <w:rPr>
                <w:rFonts w:ascii="Arial" w:hAnsi="Arial" w:cs="Arial"/>
                <w:b/>
                <w:color w:val="000000" w:themeColor="text1"/>
              </w:rPr>
            </w:pPr>
            <w:r w:rsidRPr="00F868F4">
              <w:rPr>
                <w:rFonts w:ascii="Arial" w:hAnsi="Arial" w:cs="Arial"/>
                <w:b/>
                <w:color w:val="000000" w:themeColor="text1"/>
              </w:rPr>
              <w:t>PRECISIÓN DE LAS DISPOSICIONES RECLAMADAS</w:t>
            </w:r>
          </w:p>
        </w:tc>
        <w:tc>
          <w:tcPr>
            <w:tcW w:w="3737" w:type="dxa"/>
          </w:tcPr>
          <w:p w14:paraId="4E4E66F8" w14:textId="5E380B74" w:rsidR="00C27AAE" w:rsidRPr="00F868F4" w:rsidRDefault="00BC4580" w:rsidP="00460E77">
            <w:pPr>
              <w:spacing w:before="120" w:after="120"/>
              <w:jc w:val="both"/>
              <w:rPr>
                <w:rFonts w:ascii="Arial" w:hAnsi="Arial" w:cs="Arial"/>
                <w:color w:val="000000" w:themeColor="text1"/>
              </w:rPr>
            </w:pPr>
            <w:r w:rsidRPr="00F868F4">
              <w:rPr>
                <w:rFonts w:ascii="Arial" w:hAnsi="Arial" w:cs="Arial"/>
                <w:color w:val="000000" w:themeColor="text1"/>
              </w:rPr>
              <w:t xml:space="preserve">Se impugna </w:t>
            </w:r>
            <w:r w:rsidR="00D214CC" w:rsidRPr="00F868F4">
              <w:rPr>
                <w:rFonts w:ascii="Arial" w:hAnsi="Arial" w:cs="Arial"/>
                <w:color w:val="000000" w:themeColor="text1"/>
              </w:rPr>
              <w:t>el</w:t>
            </w:r>
            <w:r w:rsidR="005C6FB2" w:rsidRPr="00F868F4">
              <w:rPr>
                <w:rFonts w:ascii="Arial" w:hAnsi="Arial" w:cs="Arial"/>
                <w:color w:val="000000" w:themeColor="text1"/>
              </w:rPr>
              <w:t xml:space="preserve"> Decreto núm. 1624</w:t>
            </w:r>
            <w:r w:rsidR="003B7902" w:rsidRPr="00F868F4">
              <w:rPr>
                <w:rFonts w:ascii="Arial" w:hAnsi="Arial" w:cs="Arial"/>
                <w:color w:val="000000" w:themeColor="text1"/>
              </w:rPr>
              <w:t xml:space="preserve"> en su integridad</w:t>
            </w:r>
            <w:r w:rsidR="005C6FB2" w:rsidRPr="00F868F4">
              <w:rPr>
                <w:rFonts w:ascii="Arial" w:hAnsi="Arial" w:cs="Arial"/>
                <w:color w:val="000000" w:themeColor="text1"/>
              </w:rPr>
              <w:t>.</w:t>
            </w:r>
          </w:p>
        </w:tc>
        <w:tc>
          <w:tcPr>
            <w:tcW w:w="857" w:type="dxa"/>
            <w:vAlign w:val="center"/>
          </w:tcPr>
          <w:p w14:paraId="30D1148E" w14:textId="368CC6FC" w:rsidR="00C27AAE" w:rsidRPr="00F868F4" w:rsidRDefault="001B1224">
            <w:pPr>
              <w:jc w:val="center"/>
              <w:rPr>
                <w:rFonts w:ascii="Arial" w:hAnsi="Arial" w:cs="Arial"/>
                <w:color w:val="000000" w:themeColor="text1"/>
              </w:rPr>
            </w:pPr>
            <w:r w:rsidRPr="00F868F4">
              <w:rPr>
                <w:rFonts w:ascii="Arial" w:hAnsi="Arial" w:cs="Arial"/>
                <w:color w:val="000000" w:themeColor="text1"/>
              </w:rPr>
              <w:t>1</w:t>
            </w:r>
            <w:r w:rsidR="001B7850">
              <w:rPr>
                <w:rFonts w:ascii="Arial" w:hAnsi="Arial" w:cs="Arial"/>
                <w:color w:val="000000" w:themeColor="text1"/>
              </w:rPr>
              <w:t>1</w:t>
            </w:r>
          </w:p>
        </w:tc>
      </w:tr>
      <w:tr w:rsidR="002E5F31" w:rsidRPr="00F868F4" w14:paraId="67D13DFD" w14:textId="77777777">
        <w:trPr>
          <w:trHeight w:val="505"/>
        </w:trPr>
        <w:tc>
          <w:tcPr>
            <w:tcW w:w="678" w:type="dxa"/>
            <w:vAlign w:val="center"/>
          </w:tcPr>
          <w:p w14:paraId="242A8EB4" w14:textId="77777777" w:rsidR="00C27AAE" w:rsidRPr="00F868F4" w:rsidRDefault="00C27AAE">
            <w:pPr>
              <w:jc w:val="center"/>
              <w:rPr>
                <w:rFonts w:ascii="Arial" w:hAnsi="Arial" w:cs="Arial"/>
                <w:b/>
                <w:bCs/>
                <w:color w:val="000000" w:themeColor="text1"/>
              </w:rPr>
            </w:pPr>
            <w:r w:rsidRPr="00F868F4">
              <w:rPr>
                <w:rFonts w:ascii="Arial" w:hAnsi="Arial" w:cs="Arial"/>
                <w:b/>
                <w:bCs/>
                <w:color w:val="000000" w:themeColor="text1"/>
              </w:rPr>
              <w:t>III.</w:t>
            </w:r>
          </w:p>
        </w:tc>
        <w:tc>
          <w:tcPr>
            <w:tcW w:w="4026" w:type="dxa"/>
            <w:vAlign w:val="center"/>
          </w:tcPr>
          <w:p w14:paraId="0FB1445E" w14:textId="77777777" w:rsidR="00C27AAE" w:rsidRPr="00F868F4" w:rsidRDefault="00C27AAE">
            <w:pPr>
              <w:jc w:val="center"/>
              <w:rPr>
                <w:rFonts w:ascii="Arial" w:hAnsi="Arial" w:cs="Arial"/>
                <w:b/>
                <w:color w:val="000000" w:themeColor="text1"/>
              </w:rPr>
            </w:pPr>
            <w:r w:rsidRPr="00F868F4">
              <w:rPr>
                <w:rFonts w:ascii="Arial" w:hAnsi="Arial" w:cs="Arial"/>
                <w:b/>
                <w:color w:val="000000" w:themeColor="text1"/>
              </w:rPr>
              <w:t>OPORTUNIDAD</w:t>
            </w:r>
          </w:p>
        </w:tc>
        <w:tc>
          <w:tcPr>
            <w:tcW w:w="3737" w:type="dxa"/>
          </w:tcPr>
          <w:p w14:paraId="1E988DBC" w14:textId="58772EE5" w:rsidR="00C27AAE" w:rsidRPr="00F868F4" w:rsidRDefault="00C27AAE" w:rsidP="00460E77">
            <w:pPr>
              <w:spacing w:before="120" w:after="120"/>
              <w:rPr>
                <w:rFonts w:ascii="Arial" w:hAnsi="Arial" w:cs="Arial"/>
                <w:color w:val="000000" w:themeColor="text1"/>
              </w:rPr>
            </w:pPr>
            <w:r w:rsidRPr="00F868F4">
              <w:rPr>
                <w:rFonts w:ascii="Arial" w:hAnsi="Arial" w:cs="Arial"/>
                <w:color w:val="000000" w:themeColor="text1"/>
              </w:rPr>
              <w:t xml:space="preserve">La demanda </w:t>
            </w:r>
            <w:r w:rsidR="005C6FB2" w:rsidRPr="00F868F4">
              <w:rPr>
                <w:rFonts w:ascii="Arial" w:hAnsi="Arial" w:cs="Arial"/>
                <w:color w:val="000000" w:themeColor="text1"/>
              </w:rPr>
              <w:t>es</w:t>
            </w:r>
            <w:r w:rsidRPr="00F868F4">
              <w:rPr>
                <w:rFonts w:ascii="Arial" w:hAnsi="Arial" w:cs="Arial"/>
                <w:color w:val="000000" w:themeColor="text1"/>
              </w:rPr>
              <w:t xml:space="preserve"> oportuna</w:t>
            </w:r>
            <w:r w:rsidR="002608E7" w:rsidRPr="00F868F4">
              <w:rPr>
                <w:rFonts w:ascii="Arial" w:hAnsi="Arial" w:cs="Arial"/>
                <w:color w:val="000000" w:themeColor="text1"/>
              </w:rPr>
              <w:t>.</w:t>
            </w:r>
          </w:p>
        </w:tc>
        <w:tc>
          <w:tcPr>
            <w:tcW w:w="857" w:type="dxa"/>
            <w:vAlign w:val="center"/>
          </w:tcPr>
          <w:p w14:paraId="5D8238FE" w14:textId="7ADE7984" w:rsidR="00C27AAE" w:rsidRPr="00F868F4" w:rsidRDefault="003A5F81">
            <w:pPr>
              <w:jc w:val="center"/>
              <w:rPr>
                <w:rFonts w:ascii="Arial" w:hAnsi="Arial" w:cs="Arial"/>
                <w:color w:val="000000" w:themeColor="text1"/>
              </w:rPr>
            </w:pPr>
            <w:r w:rsidRPr="00F868F4">
              <w:rPr>
                <w:rFonts w:ascii="Arial" w:hAnsi="Arial" w:cs="Arial"/>
                <w:color w:val="000000" w:themeColor="text1"/>
              </w:rPr>
              <w:t>1</w:t>
            </w:r>
            <w:r w:rsidR="001B7850">
              <w:rPr>
                <w:rFonts w:ascii="Arial" w:hAnsi="Arial" w:cs="Arial"/>
                <w:color w:val="000000" w:themeColor="text1"/>
              </w:rPr>
              <w:t>3</w:t>
            </w:r>
          </w:p>
        </w:tc>
      </w:tr>
      <w:tr w:rsidR="002E5F31" w:rsidRPr="00F868F4" w14:paraId="0B8D71C9" w14:textId="77777777">
        <w:trPr>
          <w:trHeight w:val="555"/>
        </w:trPr>
        <w:tc>
          <w:tcPr>
            <w:tcW w:w="678" w:type="dxa"/>
            <w:vAlign w:val="center"/>
          </w:tcPr>
          <w:p w14:paraId="61440B51" w14:textId="77777777" w:rsidR="00C27AAE" w:rsidRPr="00F868F4" w:rsidRDefault="00C27AAE">
            <w:pPr>
              <w:jc w:val="center"/>
              <w:rPr>
                <w:rFonts w:ascii="Arial" w:hAnsi="Arial" w:cs="Arial"/>
                <w:b/>
                <w:bCs/>
                <w:color w:val="000000" w:themeColor="text1"/>
              </w:rPr>
            </w:pPr>
            <w:r w:rsidRPr="00F868F4">
              <w:rPr>
                <w:rFonts w:ascii="Arial" w:hAnsi="Arial" w:cs="Arial"/>
                <w:b/>
                <w:bCs/>
                <w:color w:val="000000" w:themeColor="text1"/>
              </w:rPr>
              <w:t>IV.</w:t>
            </w:r>
          </w:p>
        </w:tc>
        <w:tc>
          <w:tcPr>
            <w:tcW w:w="4026" w:type="dxa"/>
            <w:vAlign w:val="center"/>
          </w:tcPr>
          <w:p w14:paraId="0A731EA9" w14:textId="77777777" w:rsidR="00C27AAE" w:rsidRPr="00F868F4" w:rsidRDefault="00C27AAE">
            <w:pPr>
              <w:jc w:val="center"/>
              <w:rPr>
                <w:rFonts w:ascii="Arial" w:hAnsi="Arial" w:cs="Arial"/>
                <w:b/>
                <w:color w:val="000000" w:themeColor="text1"/>
              </w:rPr>
            </w:pPr>
          </w:p>
          <w:p w14:paraId="7D6BF303" w14:textId="7D2A9F5C" w:rsidR="00C27AAE" w:rsidRPr="00F868F4" w:rsidRDefault="00C27AAE">
            <w:pPr>
              <w:jc w:val="center"/>
              <w:rPr>
                <w:rFonts w:ascii="Arial" w:hAnsi="Arial" w:cs="Arial"/>
                <w:b/>
                <w:color w:val="000000" w:themeColor="text1"/>
              </w:rPr>
            </w:pPr>
            <w:r w:rsidRPr="00F868F4">
              <w:rPr>
                <w:rFonts w:ascii="Arial" w:hAnsi="Arial" w:cs="Arial"/>
                <w:b/>
                <w:color w:val="000000" w:themeColor="text1"/>
              </w:rPr>
              <w:t>LEGITIMACIÓN</w:t>
            </w:r>
            <w:r w:rsidR="009731F7" w:rsidRPr="00F868F4">
              <w:rPr>
                <w:rFonts w:ascii="Arial" w:hAnsi="Arial" w:cs="Arial"/>
                <w:b/>
                <w:color w:val="000000" w:themeColor="text1"/>
              </w:rPr>
              <w:t xml:space="preserve"> Y REPRESENTACIÓN</w:t>
            </w:r>
          </w:p>
          <w:p w14:paraId="3156AE14" w14:textId="77777777" w:rsidR="00C27AAE" w:rsidRPr="00F868F4" w:rsidRDefault="00C27AAE">
            <w:pPr>
              <w:jc w:val="center"/>
              <w:rPr>
                <w:rFonts w:ascii="Arial" w:hAnsi="Arial" w:cs="Arial"/>
                <w:b/>
                <w:color w:val="000000" w:themeColor="text1"/>
              </w:rPr>
            </w:pPr>
          </w:p>
          <w:p w14:paraId="656115FF" w14:textId="77777777" w:rsidR="00C27AAE" w:rsidRPr="00F868F4" w:rsidRDefault="00C27AAE">
            <w:pPr>
              <w:jc w:val="center"/>
              <w:rPr>
                <w:rFonts w:ascii="Arial" w:hAnsi="Arial" w:cs="Arial"/>
                <w:b/>
                <w:color w:val="000000" w:themeColor="text1"/>
              </w:rPr>
            </w:pPr>
          </w:p>
        </w:tc>
        <w:tc>
          <w:tcPr>
            <w:tcW w:w="3737" w:type="dxa"/>
          </w:tcPr>
          <w:p w14:paraId="5895C495" w14:textId="3036BDB6" w:rsidR="00C27AAE" w:rsidRPr="00F868F4" w:rsidRDefault="005C6FB2" w:rsidP="00460E77">
            <w:pPr>
              <w:spacing w:before="120" w:after="120"/>
              <w:jc w:val="both"/>
              <w:rPr>
                <w:rFonts w:ascii="Arial" w:hAnsi="Arial" w:cs="Arial"/>
                <w:color w:val="000000" w:themeColor="text1"/>
              </w:rPr>
            </w:pPr>
            <w:r w:rsidRPr="00F868F4">
              <w:rPr>
                <w:rFonts w:ascii="Arial" w:hAnsi="Arial" w:cs="Arial"/>
                <w:color w:val="000000" w:themeColor="text1"/>
              </w:rPr>
              <w:t xml:space="preserve">El partido político nacional tiene legitimación </w:t>
            </w:r>
            <w:r w:rsidR="00035FC1" w:rsidRPr="00F868F4">
              <w:rPr>
                <w:rFonts w:ascii="Arial" w:hAnsi="Arial" w:cs="Arial"/>
                <w:color w:val="000000" w:themeColor="text1"/>
              </w:rPr>
              <w:t>y promueve la impugnación a través de un órgano facultado estatutariamente para su representación.</w:t>
            </w:r>
          </w:p>
        </w:tc>
        <w:tc>
          <w:tcPr>
            <w:tcW w:w="857" w:type="dxa"/>
            <w:vAlign w:val="center"/>
          </w:tcPr>
          <w:p w14:paraId="04A36605" w14:textId="72E46750" w:rsidR="00C27AAE" w:rsidRPr="00F868F4" w:rsidRDefault="008C6555">
            <w:pPr>
              <w:jc w:val="center"/>
              <w:rPr>
                <w:rFonts w:ascii="Arial" w:hAnsi="Arial" w:cs="Arial"/>
                <w:color w:val="000000" w:themeColor="text1"/>
              </w:rPr>
            </w:pPr>
            <w:r w:rsidRPr="00F868F4">
              <w:rPr>
                <w:rFonts w:ascii="Arial" w:hAnsi="Arial" w:cs="Arial"/>
                <w:color w:val="000000" w:themeColor="text1"/>
              </w:rPr>
              <w:t>14</w:t>
            </w:r>
          </w:p>
        </w:tc>
      </w:tr>
      <w:tr w:rsidR="002E5F31" w:rsidRPr="00F868F4" w14:paraId="397FFDFF" w14:textId="77777777" w:rsidTr="00ED5709">
        <w:trPr>
          <w:trHeight w:val="80"/>
        </w:trPr>
        <w:tc>
          <w:tcPr>
            <w:tcW w:w="678" w:type="dxa"/>
            <w:vAlign w:val="center"/>
          </w:tcPr>
          <w:p w14:paraId="498E1705" w14:textId="42AC5626" w:rsidR="00043AF4" w:rsidRPr="00F868F4" w:rsidRDefault="00043AF4" w:rsidP="00043AF4">
            <w:pPr>
              <w:jc w:val="center"/>
              <w:rPr>
                <w:rFonts w:ascii="Arial" w:hAnsi="Arial" w:cs="Arial"/>
                <w:b/>
                <w:bCs/>
                <w:color w:val="000000" w:themeColor="text1"/>
              </w:rPr>
            </w:pPr>
            <w:r w:rsidRPr="00F868F4">
              <w:rPr>
                <w:rFonts w:ascii="Arial" w:hAnsi="Arial" w:cs="Arial"/>
                <w:b/>
                <w:bCs/>
                <w:color w:val="000000" w:themeColor="text1"/>
              </w:rPr>
              <w:t>V</w:t>
            </w:r>
            <w:r w:rsidR="00D50A96" w:rsidRPr="00F868F4">
              <w:rPr>
                <w:rFonts w:ascii="Arial" w:hAnsi="Arial" w:cs="Arial"/>
                <w:b/>
                <w:bCs/>
                <w:color w:val="000000" w:themeColor="text1"/>
              </w:rPr>
              <w:t>.</w:t>
            </w:r>
          </w:p>
        </w:tc>
        <w:tc>
          <w:tcPr>
            <w:tcW w:w="7763" w:type="dxa"/>
            <w:gridSpan w:val="2"/>
            <w:vAlign w:val="center"/>
          </w:tcPr>
          <w:p w14:paraId="77763E5A" w14:textId="5E8732C1" w:rsidR="00043AF4" w:rsidRPr="00F868F4" w:rsidRDefault="00043AF4" w:rsidP="00460E77">
            <w:pPr>
              <w:spacing w:before="120" w:after="120"/>
              <w:jc w:val="center"/>
              <w:rPr>
                <w:rFonts w:ascii="Arial" w:hAnsi="Arial" w:cs="Arial"/>
                <w:color w:val="000000" w:themeColor="text1"/>
              </w:rPr>
            </w:pPr>
            <w:r w:rsidRPr="00F868F4">
              <w:rPr>
                <w:rFonts w:ascii="Arial" w:hAnsi="Arial" w:cs="Arial"/>
                <w:b/>
                <w:bCs/>
                <w:color w:val="000000" w:themeColor="text1"/>
              </w:rPr>
              <w:t>ESTUDIO DE FONDO</w:t>
            </w:r>
          </w:p>
        </w:tc>
        <w:tc>
          <w:tcPr>
            <w:tcW w:w="857" w:type="dxa"/>
            <w:vAlign w:val="center"/>
          </w:tcPr>
          <w:p w14:paraId="0E42F364" w14:textId="54AD7C21" w:rsidR="00043AF4" w:rsidRPr="00F868F4" w:rsidRDefault="00043AF4" w:rsidP="00043AF4">
            <w:pPr>
              <w:jc w:val="center"/>
              <w:rPr>
                <w:rFonts w:ascii="Arial" w:hAnsi="Arial" w:cs="Arial"/>
                <w:color w:val="000000" w:themeColor="text1"/>
              </w:rPr>
            </w:pPr>
          </w:p>
        </w:tc>
      </w:tr>
      <w:tr w:rsidR="002E5F31" w:rsidRPr="00F868F4" w14:paraId="053B49BF" w14:textId="77777777" w:rsidTr="00ED5709">
        <w:trPr>
          <w:trHeight w:val="272"/>
        </w:trPr>
        <w:tc>
          <w:tcPr>
            <w:tcW w:w="678" w:type="dxa"/>
            <w:vAlign w:val="center"/>
          </w:tcPr>
          <w:p w14:paraId="34B91A7F" w14:textId="585C0E1A" w:rsidR="00043AF4" w:rsidRPr="00F868F4" w:rsidRDefault="00303DD5" w:rsidP="00043AF4">
            <w:pPr>
              <w:jc w:val="center"/>
              <w:rPr>
                <w:rFonts w:ascii="Arial" w:hAnsi="Arial" w:cs="Arial"/>
                <w:b/>
                <w:bCs/>
                <w:color w:val="000000" w:themeColor="text1"/>
              </w:rPr>
            </w:pPr>
            <w:r w:rsidRPr="00F868F4">
              <w:rPr>
                <w:rFonts w:ascii="Arial" w:hAnsi="Arial" w:cs="Arial"/>
                <w:b/>
                <w:bCs/>
                <w:color w:val="000000" w:themeColor="text1"/>
              </w:rPr>
              <w:t>1.</w:t>
            </w:r>
          </w:p>
        </w:tc>
        <w:tc>
          <w:tcPr>
            <w:tcW w:w="4026" w:type="dxa"/>
            <w:vAlign w:val="center"/>
          </w:tcPr>
          <w:p w14:paraId="2366FE7F" w14:textId="1E699945" w:rsidR="00043AF4" w:rsidRPr="00F868F4" w:rsidRDefault="00AA085C" w:rsidP="00ED5709">
            <w:pPr>
              <w:pStyle w:val="Prrafo"/>
              <w:spacing w:line="240" w:lineRule="auto"/>
              <w:jc w:val="center"/>
              <w:rPr>
                <w:b/>
                <w:color w:val="000000" w:themeColor="text1"/>
                <w:sz w:val="24"/>
                <w:szCs w:val="24"/>
              </w:rPr>
            </w:pPr>
            <w:r w:rsidRPr="00F868F4">
              <w:rPr>
                <w:b/>
                <w:color w:val="000000" w:themeColor="text1"/>
                <w:sz w:val="24"/>
                <w:szCs w:val="24"/>
              </w:rPr>
              <w:t xml:space="preserve">Supuesto incumplimiento del deber de </w:t>
            </w:r>
            <w:r w:rsidR="003E640E" w:rsidRPr="00F868F4">
              <w:rPr>
                <w:b/>
                <w:color w:val="000000" w:themeColor="text1"/>
                <w:sz w:val="24"/>
                <w:szCs w:val="24"/>
              </w:rPr>
              <w:t xml:space="preserve">consulta </w:t>
            </w:r>
            <w:r w:rsidR="00707345" w:rsidRPr="00F868F4">
              <w:rPr>
                <w:b/>
                <w:color w:val="000000" w:themeColor="text1"/>
                <w:sz w:val="24"/>
                <w:szCs w:val="24"/>
              </w:rPr>
              <w:t>previa a las comunidades indígenas</w:t>
            </w:r>
          </w:p>
        </w:tc>
        <w:tc>
          <w:tcPr>
            <w:tcW w:w="3737" w:type="dxa"/>
          </w:tcPr>
          <w:p w14:paraId="02DC1AE1" w14:textId="77777777" w:rsidR="00E86DBD" w:rsidRPr="00F868F4" w:rsidRDefault="00CC3C32" w:rsidP="00CC3C32">
            <w:pPr>
              <w:spacing w:before="120" w:after="120"/>
              <w:jc w:val="both"/>
              <w:rPr>
                <w:rFonts w:ascii="Arial" w:hAnsi="Arial" w:cs="Arial"/>
                <w:color w:val="000000" w:themeColor="text1"/>
              </w:rPr>
            </w:pPr>
            <w:r w:rsidRPr="00F868F4">
              <w:rPr>
                <w:rFonts w:ascii="Arial" w:hAnsi="Arial" w:cs="Arial"/>
                <w:color w:val="000000" w:themeColor="text1"/>
              </w:rPr>
              <w:t xml:space="preserve">No le asiste razón. El decreto impugnado no impacta de forma específica y diferenciada en los derechos e intereses de la ciudadanía perteneciente a las comunidades indígenas, por lo </w:t>
            </w:r>
            <w:r w:rsidRPr="00F868F4">
              <w:rPr>
                <w:rFonts w:ascii="Arial" w:hAnsi="Arial" w:cs="Arial"/>
                <w:color w:val="000000" w:themeColor="text1"/>
              </w:rPr>
              <w:lastRenderedPageBreak/>
              <w:t>que no se actualizó la obligación de consultarlas.</w:t>
            </w:r>
          </w:p>
          <w:p w14:paraId="2F1ADCFF" w14:textId="2BFAF9F7" w:rsidR="00DF1FCB" w:rsidRPr="00F868F4" w:rsidRDefault="000B0B0D" w:rsidP="00DF1FCB">
            <w:pPr>
              <w:spacing w:before="120" w:after="120"/>
              <w:jc w:val="both"/>
              <w:rPr>
                <w:rFonts w:ascii="Arial" w:hAnsi="Arial" w:cs="Arial"/>
                <w:color w:val="000000" w:themeColor="text1"/>
              </w:rPr>
            </w:pPr>
            <w:r w:rsidRPr="00F868F4">
              <w:rPr>
                <w:rFonts w:ascii="Arial" w:hAnsi="Arial" w:cs="Arial"/>
                <w:color w:val="000000" w:themeColor="text1"/>
              </w:rPr>
              <w:t>La periodicidad de los procesos para la renovación de los cargos constitucionales de elección popular es una de las condiciones básicas para la organización de una elección. Es un aspecto que incide de forma uniforme a toda la ciudadanía.</w:t>
            </w:r>
          </w:p>
        </w:tc>
        <w:tc>
          <w:tcPr>
            <w:tcW w:w="857" w:type="dxa"/>
            <w:vAlign w:val="center"/>
          </w:tcPr>
          <w:p w14:paraId="349CFA4E" w14:textId="50CA8F01" w:rsidR="00043AF4" w:rsidRPr="00F868F4" w:rsidRDefault="00F27E96" w:rsidP="00043AF4">
            <w:pPr>
              <w:jc w:val="center"/>
              <w:rPr>
                <w:rFonts w:ascii="Arial" w:hAnsi="Arial" w:cs="Arial"/>
                <w:color w:val="000000" w:themeColor="text1"/>
              </w:rPr>
            </w:pPr>
            <w:r w:rsidRPr="00F868F4">
              <w:rPr>
                <w:rFonts w:ascii="Arial" w:hAnsi="Arial" w:cs="Arial"/>
                <w:color w:val="000000" w:themeColor="text1"/>
              </w:rPr>
              <w:lastRenderedPageBreak/>
              <w:t>1</w:t>
            </w:r>
            <w:r w:rsidR="001B7850">
              <w:rPr>
                <w:rFonts w:ascii="Arial" w:hAnsi="Arial" w:cs="Arial"/>
                <w:color w:val="000000" w:themeColor="text1"/>
              </w:rPr>
              <w:t>8</w:t>
            </w:r>
          </w:p>
        </w:tc>
      </w:tr>
      <w:tr w:rsidR="002E5F31" w:rsidRPr="00F868F4" w14:paraId="4A49156B" w14:textId="77777777" w:rsidTr="00ED5709">
        <w:trPr>
          <w:trHeight w:val="783"/>
        </w:trPr>
        <w:tc>
          <w:tcPr>
            <w:tcW w:w="678" w:type="dxa"/>
            <w:vAlign w:val="center"/>
          </w:tcPr>
          <w:p w14:paraId="4E88DBD5" w14:textId="4211C73B" w:rsidR="00043AF4" w:rsidRPr="00F868F4" w:rsidRDefault="00C93BFD" w:rsidP="00043AF4">
            <w:pPr>
              <w:jc w:val="center"/>
              <w:rPr>
                <w:rFonts w:ascii="Arial" w:hAnsi="Arial" w:cs="Arial"/>
                <w:b/>
                <w:bCs/>
                <w:color w:val="000000" w:themeColor="text1"/>
              </w:rPr>
            </w:pPr>
            <w:r w:rsidRPr="00F868F4">
              <w:rPr>
                <w:rFonts w:ascii="Arial" w:hAnsi="Arial" w:cs="Arial"/>
                <w:b/>
                <w:bCs/>
                <w:color w:val="000000" w:themeColor="text1"/>
              </w:rPr>
              <w:t>2.</w:t>
            </w:r>
          </w:p>
        </w:tc>
        <w:tc>
          <w:tcPr>
            <w:tcW w:w="4026" w:type="dxa"/>
            <w:vAlign w:val="center"/>
          </w:tcPr>
          <w:p w14:paraId="3A1B1E99" w14:textId="3EF4F147" w:rsidR="00043AF4" w:rsidRPr="00F868F4" w:rsidRDefault="00F473B0" w:rsidP="00043AF4">
            <w:pPr>
              <w:pStyle w:val="Prrafo"/>
              <w:spacing w:line="240" w:lineRule="auto"/>
              <w:jc w:val="center"/>
              <w:rPr>
                <w:b/>
                <w:color w:val="000000" w:themeColor="text1"/>
                <w:sz w:val="24"/>
                <w:szCs w:val="24"/>
              </w:rPr>
            </w:pPr>
            <w:r w:rsidRPr="00F868F4">
              <w:rPr>
                <w:b/>
                <w:color w:val="000000" w:themeColor="text1"/>
                <w:sz w:val="24"/>
                <w:szCs w:val="24"/>
              </w:rPr>
              <w:t>Presunta violación al artículo 116 de la Constitución Política del país</w:t>
            </w:r>
            <w:r w:rsidR="00072D24" w:rsidRPr="00F868F4">
              <w:rPr>
                <w:b/>
                <w:color w:val="000000" w:themeColor="text1"/>
                <w:sz w:val="24"/>
                <w:szCs w:val="24"/>
              </w:rPr>
              <w:t xml:space="preserve"> </w:t>
            </w:r>
            <w:r w:rsidR="000241B6" w:rsidRPr="00F868F4">
              <w:rPr>
                <w:b/>
                <w:color w:val="000000" w:themeColor="text1"/>
                <w:sz w:val="24"/>
                <w:szCs w:val="24"/>
              </w:rPr>
              <w:t xml:space="preserve"> </w:t>
            </w:r>
          </w:p>
        </w:tc>
        <w:tc>
          <w:tcPr>
            <w:tcW w:w="3737" w:type="dxa"/>
          </w:tcPr>
          <w:p w14:paraId="23E23CC2" w14:textId="77777777" w:rsidR="002C0E28" w:rsidRPr="00F868F4" w:rsidRDefault="000B0B0D" w:rsidP="00460E77">
            <w:pPr>
              <w:spacing w:before="120" w:after="120"/>
              <w:jc w:val="both"/>
              <w:rPr>
                <w:rFonts w:ascii="Arial" w:hAnsi="Arial" w:cs="Arial"/>
                <w:color w:val="000000" w:themeColor="text1"/>
              </w:rPr>
            </w:pPr>
            <w:r w:rsidRPr="00F868F4">
              <w:rPr>
                <w:rFonts w:ascii="Arial" w:hAnsi="Arial" w:cs="Arial"/>
                <w:color w:val="000000" w:themeColor="text1"/>
              </w:rPr>
              <w:t>No le asiste razón.</w:t>
            </w:r>
            <w:r w:rsidR="00040902" w:rsidRPr="00F868F4">
              <w:rPr>
                <w:rFonts w:ascii="Arial" w:hAnsi="Arial" w:cs="Arial"/>
                <w:color w:val="000000" w:themeColor="text1"/>
              </w:rPr>
              <w:t xml:space="preserve"> </w:t>
            </w:r>
            <w:r w:rsidR="006452CD" w:rsidRPr="00F868F4">
              <w:rPr>
                <w:rFonts w:ascii="Arial" w:hAnsi="Arial" w:cs="Arial"/>
                <w:color w:val="000000" w:themeColor="text1"/>
              </w:rPr>
              <w:t>L</w:t>
            </w:r>
            <w:r w:rsidR="00040902" w:rsidRPr="00F868F4">
              <w:rPr>
                <w:rFonts w:ascii="Arial" w:hAnsi="Arial" w:cs="Arial"/>
                <w:color w:val="000000" w:themeColor="text1"/>
              </w:rPr>
              <w:t xml:space="preserve">a definición de la periodicidad de los cargos de elección popular y de los procesos para su renovación es un aspecto comprendido en el margen de libertad de configuración normativa de las entidades federativas, bajo la condición de que se ajusten a los lineamientos mínimos dispuestos en el artículo 116 constitucional. </w:t>
            </w:r>
          </w:p>
          <w:p w14:paraId="4E58CB6C" w14:textId="6746D83B" w:rsidR="00043AF4" w:rsidRPr="00F868F4" w:rsidRDefault="00040902" w:rsidP="00460E77">
            <w:pPr>
              <w:spacing w:before="120" w:after="120"/>
              <w:jc w:val="both"/>
              <w:rPr>
                <w:rFonts w:ascii="Arial" w:hAnsi="Arial" w:cs="Arial"/>
                <w:color w:val="000000" w:themeColor="text1"/>
              </w:rPr>
            </w:pPr>
            <w:r w:rsidRPr="00F868F4">
              <w:rPr>
                <w:rFonts w:ascii="Arial" w:hAnsi="Arial" w:cs="Arial"/>
                <w:color w:val="000000" w:themeColor="text1"/>
              </w:rPr>
              <w:t>Dicho margen les habilita para realizar modificaciones para materializar la concurrencia de los procesos electorales locales con los de carácter federal, incluyendo la previsión de un periodo reducido al que ordinariamente tiene un encargo, siempre que sea excepcional y como una previsión a futuro.</w:t>
            </w:r>
          </w:p>
        </w:tc>
        <w:tc>
          <w:tcPr>
            <w:tcW w:w="857" w:type="dxa"/>
            <w:vAlign w:val="center"/>
          </w:tcPr>
          <w:p w14:paraId="3F80C66D" w14:textId="09A9F536" w:rsidR="00043AF4" w:rsidRPr="00F868F4" w:rsidRDefault="0034094D" w:rsidP="00043AF4">
            <w:pPr>
              <w:jc w:val="center"/>
              <w:rPr>
                <w:rFonts w:ascii="Arial" w:hAnsi="Arial" w:cs="Arial"/>
                <w:color w:val="000000" w:themeColor="text1"/>
              </w:rPr>
            </w:pPr>
            <w:r w:rsidRPr="00F868F4">
              <w:rPr>
                <w:rFonts w:ascii="Arial" w:hAnsi="Arial" w:cs="Arial"/>
                <w:color w:val="000000" w:themeColor="text1"/>
              </w:rPr>
              <w:t>3</w:t>
            </w:r>
            <w:r w:rsidR="001B7850">
              <w:rPr>
                <w:rFonts w:ascii="Arial" w:hAnsi="Arial" w:cs="Arial"/>
                <w:color w:val="000000" w:themeColor="text1"/>
              </w:rPr>
              <w:t>2</w:t>
            </w:r>
          </w:p>
        </w:tc>
      </w:tr>
      <w:tr w:rsidR="002E5F31" w:rsidRPr="00F868F4" w14:paraId="64B965F3" w14:textId="77777777" w:rsidTr="00ED5709">
        <w:trPr>
          <w:trHeight w:val="80"/>
        </w:trPr>
        <w:tc>
          <w:tcPr>
            <w:tcW w:w="678" w:type="dxa"/>
            <w:vAlign w:val="center"/>
          </w:tcPr>
          <w:p w14:paraId="0E33BA32" w14:textId="5FEF9A9E" w:rsidR="00006DC6" w:rsidRPr="00F868F4" w:rsidRDefault="00C93BFD" w:rsidP="00043AF4">
            <w:pPr>
              <w:jc w:val="center"/>
              <w:rPr>
                <w:rFonts w:ascii="Arial" w:hAnsi="Arial" w:cs="Arial"/>
                <w:b/>
                <w:bCs/>
                <w:color w:val="000000" w:themeColor="text1"/>
              </w:rPr>
            </w:pPr>
            <w:r w:rsidRPr="00F868F4">
              <w:rPr>
                <w:rFonts w:ascii="Arial" w:hAnsi="Arial" w:cs="Arial"/>
                <w:b/>
                <w:bCs/>
                <w:color w:val="000000" w:themeColor="text1"/>
              </w:rPr>
              <w:t>3.</w:t>
            </w:r>
          </w:p>
        </w:tc>
        <w:tc>
          <w:tcPr>
            <w:tcW w:w="4026" w:type="dxa"/>
            <w:vAlign w:val="center"/>
          </w:tcPr>
          <w:p w14:paraId="717ABADF" w14:textId="77D5B0ED" w:rsidR="00006DC6" w:rsidRPr="00F868F4" w:rsidRDefault="00C867F6" w:rsidP="00043AF4">
            <w:pPr>
              <w:pStyle w:val="Prrafo"/>
              <w:spacing w:line="240" w:lineRule="auto"/>
              <w:jc w:val="center"/>
              <w:rPr>
                <w:b/>
                <w:color w:val="000000" w:themeColor="text1"/>
                <w:sz w:val="24"/>
                <w:szCs w:val="24"/>
              </w:rPr>
            </w:pPr>
            <w:r w:rsidRPr="00F868F4">
              <w:rPr>
                <w:b/>
                <w:color w:val="000000" w:themeColor="text1"/>
                <w:sz w:val="24"/>
                <w:szCs w:val="24"/>
              </w:rPr>
              <w:t xml:space="preserve">Presunta violación </w:t>
            </w:r>
            <w:r w:rsidR="007B2CB5" w:rsidRPr="00F868F4">
              <w:rPr>
                <w:b/>
                <w:color w:val="000000" w:themeColor="text1"/>
                <w:sz w:val="24"/>
                <w:szCs w:val="24"/>
              </w:rPr>
              <w:t>del</w:t>
            </w:r>
            <w:r w:rsidRPr="00F868F4">
              <w:rPr>
                <w:b/>
                <w:color w:val="000000" w:themeColor="text1"/>
                <w:sz w:val="24"/>
                <w:szCs w:val="24"/>
              </w:rPr>
              <w:t xml:space="preserve"> principio de paridad de género</w:t>
            </w:r>
          </w:p>
        </w:tc>
        <w:tc>
          <w:tcPr>
            <w:tcW w:w="3737" w:type="dxa"/>
          </w:tcPr>
          <w:p w14:paraId="7B49101D" w14:textId="602232FF" w:rsidR="005B5C98" w:rsidRPr="00F868F4" w:rsidRDefault="000B0B0D" w:rsidP="005B5C98">
            <w:pPr>
              <w:spacing w:before="120" w:after="120"/>
              <w:jc w:val="both"/>
              <w:rPr>
                <w:rFonts w:ascii="Arial" w:hAnsi="Arial" w:cs="Arial"/>
                <w:color w:val="000000" w:themeColor="text1"/>
              </w:rPr>
            </w:pPr>
            <w:r w:rsidRPr="00F868F4">
              <w:rPr>
                <w:rFonts w:ascii="Arial" w:hAnsi="Arial" w:cs="Arial"/>
                <w:color w:val="000000" w:themeColor="text1"/>
              </w:rPr>
              <w:t>No le asiste razón.</w:t>
            </w:r>
            <w:r w:rsidR="005B5C98" w:rsidRPr="00F868F4">
              <w:rPr>
                <w:rFonts w:ascii="Arial" w:hAnsi="Arial" w:cs="Arial"/>
                <w:color w:val="000000" w:themeColor="text1"/>
              </w:rPr>
              <w:t xml:space="preserve"> El decreto impugnado, por sí mismo, no contraviene el principio constitucional de paridad de género, ni los derechos de participación política de las mujeres. Su planteamiento adopta como premisa un hecho incierto, debido a que del principio constitucional de paridad de género no se sigue que en el proceso electoral a celebrarse en dos mil veintiocho necesariamente se elegirá a una mujer como Gobernadora del estado de Oaxaca.</w:t>
            </w:r>
          </w:p>
          <w:p w14:paraId="561D9A83" w14:textId="77777777" w:rsidR="005A16D0" w:rsidRDefault="005A16D0" w:rsidP="005B5C98">
            <w:pPr>
              <w:spacing w:before="120" w:after="120"/>
              <w:jc w:val="both"/>
              <w:rPr>
                <w:rFonts w:ascii="Arial" w:hAnsi="Arial" w:cs="Arial"/>
                <w:color w:val="000000" w:themeColor="text1"/>
              </w:rPr>
            </w:pPr>
          </w:p>
          <w:p w14:paraId="0C5FEB62" w14:textId="6402AFC2" w:rsidR="005B5C98" w:rsidRPr="00F868F4" w:rsidRDefault="005B5C98" w:rsidP="005B5C98">
            <w:pPr>
              <w:spacing w:before="120" w:after="120"/>
              <w:jc w:val="both"/>
              <w:rPr>
                <w:rFonts w:ascii="Arial" w:hAnsi="Arial" w:cs="Arial"/>
                <w:color w:val="000000" w:themeColor="text1"/>
              </w:rPr>
            </w:pPr>
            <w:r w:rsidRPr="00F868F4">
              <w:rPr>
                <w:rFonts w:ascii="Arial" w:hAnsi="Arial" w:cs="Arial"/>
                <w:color w:val="000000" w:themeColor="text1"/>
              </w:rPr>
              <w:t>Al ser válido que se prevea excepcionalmente un mandato reducido de la Gubernatura con el fin de lograr la concurrencia de esa elección local con los comicios federales, dicha condición temporal no es susceptible de violar los derechos de participación política de la ciudadanía de Oaxaca</w:t>
            </w:r>
            <w:r w:rsidR="002C0E28" w:rsidRPr="00F868F4">
              <w:rPr>
                <w:rFonts w:ascii="Arial" w:hAnsi="Arial" w:cs="Arial"/>
                <w:color w:val="000000" w:themeColor="text1"/>
              </w:rPr>
              <w:t>, incluyendo los de las mujeres.</w:t>
            </w:r>
          </w:p>
        </w:tc>
        <w:tc>
          <w:tcPr>
            <w:tcW w:w="857" w:type="dxa"/>
            <w:vAlign w:val="center"/>
          </w:tcPr>
          <w:p w14:paraId="56D5D781" w14:textId="6371621F" w:rsidR="00006DC6" w:rsidRPr="00F868F4" w:rsidRDefault="00D23D3F" w:rsidP="00043AF4">
            <w:pPr>
              <w:jc w:val="center"/>
              <w:rPr>
                <w:rFonts w:ascii="Arial" w:hAnsi="Arial" w:cs="Arial"/>
                <w:color w:val="000000" w:themeColor="text1"/>
              </w:rPr>
            </w:pPr>
            <w:r w:rsidRPr="00F868F4">
              <w:rPr>
                <w:rFonts w:ascii="Arial" w:hAnsi="Arial" w:cs="Arial"/>
                <w:color w:val="000000" w:themeColor="text1"/>
              </w:rPr>
              <w:lastRenderedPageBreak/>
              <w:t>4</w:t>
            </w:r>
            <w:r w:rsidR="001B7850">
              <w:rPr>
                <w:rFonts w:ascii="Arial" w:hAnsi="Arial" w:cs="Arial"/>
                <w:color w:val="000000" w:themeColor="text1"/>
              </w:rPr>
              <w:t>1</w:t>
            </w:r>
          </w:p>
        </w:tc>
      </w:tr>
      <w:tr w:rsidR="002E5F31" w:rsidRPr="00F868F4" w14:paraId="533348BF" w14:textId="77777777" w:rsidTr="00430AAA">
        <w:trPr>
          <w:trHeight w:val="80"/>
        </w:trPr>
        <w:tc>
          <w:tcPr>
            <w:tcW w:w="678" w:type="dxa"/>
            <w:shd w:val="clear" w:color="auto" w:fill="auto"/>
            <w:vAlign w:val="center"/>
          </w:tcPr>
          <w:p w14:paraId="2FA81D48" w14:textId="6871BF27" w:rsidR="00043AF4" w:rsidRPr="00F868F4" w:rsidRDefault="00043AF4" w:rsidP="00043AF4">
            <w:pPr>
              <w:jc w:val="center"/>
              <w:rPr>
                <w:rFonts w:ascii="Arial" w:hAnsi="Arial" w:cs="Arial"/>
                <w:b/>
                <w:bCs/>
                <w:color w:val="000000" w:themeColor="text1"/>
              </w:rPr>
            </w:pPr>
            <w:r w:rsidRPr="00F868F4">
              <w:rPr>
                <w:rFonts w:ascii="Arial" w:hAnsi="Arial" w:cs="Arial"/>
                <w:b/>
                <w:bCs/>
                <w:color w:val="000000" w:themeColor="text1"/>
              </w:rPr>
              <w:t>VI.</w:t>
            </w:r>
          </w:p>
        </w:tc>
        <w:tc>
          <w:tcPr>
            <w:tcW w:w="4026" w:type="dxa"/>
            <w:shd w:val="clear" w:color="auto" w:fill="auto"/>
            <w:vAlign w:val="center"/>
          </w:tcPr>
          <w:p w14:paraId="1F9CAD3C" w14:textId="6E823C1B" w:rsidR="00043AF4" w:rsidRPr="00F868F4" w:rsidRDefault="00E009C1" w:rsidP="006526F4">
            <w:pPr>
              <w:pStyle w:val="Ttulo3"/>
              <w:spacing w:before="0" w:after="0"/>
              <w:ind w:left="63"/>
              <w:jc w:val="center"/>
              <w:rPr>
                <w:rFonts w:ascii="Arial" w:hAnsi="Arial"/>
                <w:color w:val="000000" w:themeColor="text1"/>
                <w:sz w:val="24"/>
                <w:szCs w:val="24"/>
              </w:rPr>
            </w:pPr>
            <w:r w:rsidRPr="00F868F4">
              <w:rPr>
                <w:rFonts w:ascii="Arial" w:hAnsi="Arial"/>
                <w:color w:val="000000" w:themeColor="text1"/>
                <w:sz w:val="24"/>
                <w:szCs w:val="24"/>
              </w:rPr>
              <w:t>DECISIÓN</w:t>
            </w:r>
          </w:p>
        </w:tc>
        <w:tc>
          <w:tcPr>
            <w:tcW w:w="3737" w:type="dxa"/>
            <w:shd w:val="clear" w:color="auto" w:fill="auto"/>
          </w:tcPr>
          <w:p w14:paraId="77170805" w14:textId="77777777" w:rsidR="00460788" w:rsidRPr="00F868F4" w:rsidRDefault="00460788" w:rsidP="00460788">
            <w:pPr>
              <w:spacing w:before="120" w:after="120"/>
              <w:jc w:val="both"/>
              <w:rPr>
                <w:rFonts w:ascii="Arial" w:hAnsi="Arial" w:cs="Arial"/>
                <w:color w:val="000000" w:themeColor="text1"/>
              </w:rPr>
            </w:pPr>
            <w:r w:rsidRPr="00F868F4">
              <w:rPr>
                <w:rFonts w:ascii="Arial" w:hAnsi="Arial" w:cs="Arial"/>
                <w:b/>
                <w:bCs/>
                <w:color w:val="000000" w:themeColor="text1"/>
              </w:rPr>
              <w:t>PRIMERO.</w:t>
            </w:r>
            <w:r w:rsidRPr="00F868F4">
              <w:rPr>
                <w:rFonts w:ascii="Arial" w:hAnsi="Arial" w:cs="Arial"/>
                <w:color w:val="000000" w:themeColor="text1"/>
              </w:rPr>
              <w:t xml:space="preserve"> Es procedente pero infundada la presente acción de inconstitucionalidad.</w:t>
            </w:r>
          </w:p>
          <w:p w14:paraId="499B9DFA" w14:textId="631661CD" w:rsidR="00460788" w:rsidRPr="00F868F4" w:rsidRDefault="00460788" w:rsidP="00460788">
            <w:pPr>
              <w:spacing w:before="120" w:after="120"/>
              <w:jc w:val="both"/>
              <w:rPr>
                <w:rFonts w:ascii="Arial" w:hAnsi="Arial" w:cs="Arial"/>
                <w:color w:val="000000" w:themeColor="text1"/>
              </w:rPr>
            </w:pPr>
            <w:r w:rsidRPr="00F868F4">
              <w:rPr>
                <w:rFonts w:ascii="Arial" w:hAnsi="Arial" w:cs="Arial"/>
                <w:b/>
                <w:bCs/>
                <w:color w:val="000000" w:themeColor="text1"/>
              </w:rPr>
              <w:t>SEGUNDO.</w:t>
            </w:r>
            <w:r w:rsidRPr="00F868F4">
              <w:rPr>
                <w:rFonts w:ascii="Arial" w:hAnsi="Arial" w:cs="Arial"/>
                <w:color w:val="000000" w:themeColor="text1"/>
              </w:rPr>
              <w:t xml:space="preserve"> Se reconoce la validez del Decreto impugnado</w:t>
            </w:r>
          </w:p>
          <w:p w14:paraId="0B01D27E" w14:textId="72086AE4" w:rsidR="00043AF4" w:rsidRPr="00F868F4" w:rsidRDefault="00460788" w:rsidP="00460788">
            <w:pPr>
              <w:spacing w:before="120" w:after="120"/>
              <w:jc w:val="both"/>
              <w:rPr>
                <w:rFonts w:ascii="Arial" w:hAnsi="Arial" w:cs="Arial"/>
                <w:color w:val="000000" w:themeColor="text1"/>
                <w:highlight w:val="yellow"/>
              </w:rPr>
            </w:pPr>
            <w:r w:rsidRPr="00F868F4">
              <w:rPr>
                <w:rFonts w:ascii="Arial" w:hAnsi="Arial" w:cs="Arial"/>
                <w:b/>
                <w:bCs/>
                <w:color w:val="000000" w:themeColor="text1"/>
              </w:rPr>
              <w:t xml:space="preserve">TERCERO. </w:t>
            </w:r>
            <w:r w:rsidRPr="00F868F4">
              <w:rPr>
                <w:rFonts w:ascii="Arial" w:hAnsi="Arial" w:cs="Arial"/>
                <w:color w:val="000000" w:themeColor="text1"/>
              </w:rPr>
              <w:t>Publíquese esta resolución en el Semanario Judicial de la Federación y su Gaceta.</w:t>
            </w:r>
          </w:p>
        </w:tc>
        <w:tc>
          <w:tcPr>
            <w:tcW w:w="857" w:type="dxa"/>
            <w:shd w:val="clear" w:color="auto" w:fill="auto"/>
            <w:vAlign w:val="center"/>
          </w:tcPr>
          <w:p w14:paraId="5FF4F3A1" w14:textId="73324EC2" w:rsidR="00043AF4" w:rsidRPr="00F868F4" w:rsidRDefault="00481147" w:rsidP="00043AF4">
            <w:pPr>
              <w:jc w:val="center"/>
              <w:rPr>
                <w:rFonts w:ascii="Arial" w:hAnsi="Arial" w:cs="Arial"/>
                <w:color w:val="000000" w:themeColor="text1"/>
              </w:rPr>
            </w:pPr>
            <w:r w:rsidRPr="00F868F4">
              <w:rPr>
                <w:rFonts w:ascii="Arial" w:hAnsi="Arial" w:cs="Arial"/>
                <w:color w:val="000000" w:themeColor="text1"/>
              </w:rPr>
              <w:t>5</w:t>
            </w:r>
            <w:r w:rsidR="001B7850">
              <w:rPr>
                <w:rFonts w:ascii="Arial" w:hAnsi="Arial" w:cs="Arial"/>
                <w:color w:val="000000" w:themeColor="text1"/>
              </w:rPr>
              <w:t>8</w:t>
            </w:r>
          </w:p>
        </w:tc>
      </w:tr>
    </w:tbl>
    <w:p w14:paraId="36511918" w14:textId="77777777" w:rsidR="00C27AAE" w:rsidRPr="00F868F4" w:rsidRDefault="00C27AAE" w:rsidP="00C27AAE">
      <w:pPr>
        <w:spacing w:after="160" w:line="259" w:lineRule="auto"/>
        <w:rPr>
          <w:sz w:val="26"/>
          <w:szCs w:val="26"/>
        </w:rPr>
      </w:pPr>
    </w:p>
    <w:p w14:paraId="603C89BB" w14:textId="77777777" w:rsidR="00C27AAE" w:rsidRPr="00F868F4" w:rsidRDefault="00C27AAE" w:rsidP="00C27AAE">
      <w:pPr>
        <w:spacing w:after="160" w:line="259" w:lineRule="auto"/>
        <w:rPr>
          <w:sz w:val="26"/>
          <w:szCs w:val="26"/>
        </w:rPr>
        <w:sectPr w:rsidR="00C27AAE" w:rsidRPr="00F868F4" w:rsidSect="00D71CE7">
          <w:headerReference w:type="even" r:id="rId8"/>
          <w:headerReference w:type="default" r:id="rId9"/>
          <w:footerReference w:type="even" r:id="rId10"/>
          <w:footerReference w:type="default" r:id="rId11"/>
          <w:footerReference w:type="first" r:id="rId12"/>
          <w:pgSz w:w="12240" w:h="19293" w:code="305"/>
          <w:pgMar w:top="3682" w:right="1469" w:bottom="1701" w:left="1701" w:header="1276" w:footer="1023" w:gutter="0"/>
          <w:pgNumType w:fmt="upperRoman"/>
          <w:cols w:space="708"/>
          <w:titlePg/>
          <w:docGrid w:linePitch="360"/>
        </w:sectPr>
      </w:pPr>
    </w:p>
    <w:tbl>
      <w:tblPr>
        <w:tblStyle w:val="Tablaconcuadrcula"/>
        <w:tblpPr w:leftFromText="141" w:rightFromText="141" w:horzAnchor="margin" w:tblpXSpec="right" w:tblpY="-1363"/>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C27AAE" w:rsidRPr="00F868F4" w14:paraId="0EBA23AF" w14:textId="77777777" w:rsidTr="00602D71">
        <w:tc>
          <w:tcPr>
            <w:tcW w:w="5670" w:type="dxa"/>
          </w:tcPr>
          <w:p w14:paraId="0D7CA6E0" w14:textId="0E86B0C1" w:rsidR="00C27AAE" w:rsidRPr="00F868F4" w:rsidRDefault="00C27AAE" w:rsidP="0096281E">
            <w:pPr>
              <w:jc w:val="both"/>
              <w:rPr>
                <w:rFonts w:ascii="Arial" w:hAnsi="Arial" w:cs="Arial"/>
                <w:b/>
                <w:bCs/>
                <w:sz w:val="28"/>
                <w:szCs w:val="28"/>
              </w:rPr>
            </w:pPr>
            <w:r w:rsidRPr="00F868F4">
              <w:rPr>
                <w:rFonts w:ascii="Arial" w:hAnsi="Arial" w:cs="Arial"/>
                <w:b/>
                <w:bCs/>
                <w:sz w:val="28"/>
                <w:szCs w:val="28"/>
              </w:rPr>
              <w:lastRenderedPageBreak/>
              <w:t>ACCIÓN DE INCONSTITUCIONALIDAD</w:t>
            </w:r>
          </w:p>
          <w:p w14:paraId="021A8DFC" w14:textId="6EC2DC6E" w:rsidR="00C27AAE" w:rsidRPr="00F868F4" w:rsidRDefault="00E009C1" w:rsidP="0096281E">
            <w:pPr>
              <w:jc w:val="both"/>
              <w:rPr>
                <w:rFonts w:ascii="Arial" w:hAnsi="Arial" w:cs="Arial"/>
                <w:b/>
                <w:bCs/>
                <w:sz w:val="28"/>
                <w:szCs w:val="28"/>
              </w:rPr>
            </w:pPr>
            <w:r w:rsidRPr="00F868F4">
              <w:rPr>
                <w:rFonts w:ascii="Arial" w:hAnsi="Arial" w:cs="Arial"/>
                <w:b/>
                <w:bCs/>
                <w:sz w:val="28"/>
                <w:szCs w:val="28"/>
              </w:rPr>
              <w:t>4</w:t>
            </w:r>
            <w:r w:rsidR="000D4263" w:rsidRPr="00F868F4">
              <w:rPr>
                <w:rFonts w:ascii="Arial" w:hAnsi="Arial" w:cs="Arial"/>
                <w:b/>
                <w:bCs/>
                <w:sz w:val="28"/>
                <w:szCs w:val="28"/>
              </w:rPr>
              <w:t>7</w:t>
            </w:r>
            <w:r w:rsidR="00C27AAE" w:rsidRPr="00F868F4">
              <w:rPr>
                <w:rFonts w:ascii="Arial" w:hAnsi="Arial" w:cs="Arial"/>
                <w:b/>
                <w:bCs/>
                <w:sz w:val="28"/>
                <w:szCs w:val="28"/>
              </w:rPr>
              <w:t>/202</w:t>
            </w:r>
            <w:r w:rsidRPr="00F868F4">
              <w:rPr>
                <w:rFonts w:ascii="Arial" w:hAnsi="Arial" w:cs="Arial"/>
                <w:b/>
                <w:bCs/>
                <w:sz w:val="28"/>
                <w:szCs w:val="28"/>
              </w:rPr>
              <w:t>4</w:t>
            </w:r>
          </w:p>
          <w:p w14:paraId="4FC5AF46" w14:textId="77777777" w:rsidR="00C27AAE" w:rsidRPr="00F868F4" w:rsidRDefault="00C27AAE" w:rsidP="0096281E">
            <w:pPr>
              <w:jc w:val="both"/>
              <w:rPr>
                <w:rFonts w:ascii="Arial" w:hAnsi="Arial" w:cs="Arial"/>
                <w:b/>
                <w:bCs/>
                <w:sz w:val="28"/>
                <w:szCs w:val="28"/>
              </w:rPr>
            </w:pPr>
          </w:p>
          <w:p w14:paraId="6DE1E925" w14:textId="5266DE41" w:rsidR="00C27AAE" w:rsidRPr="00F868F4" w:rsidRDefault="00C27AAE" w:rsidP="0096281E">
            <w:pPr>
              <w:jc w:val="both"/>
              <w:rPr>
                <w:rFonts w:ascii="Arial" w:hAnsi="Arial" w:cs="Arial"/>
                <w:b/>
                <w:bCs/>
                <w:sz w:val="28"/>
                <w:szCs w:val="28"/>
              </w:rPr>
            </w:pPr>
            <w:r w:rsidRPr="00F868F4">
              <w:rPr>
                <w:rFonts w:ascii="Arial" w:hAnsi="Arial" w:cs="Arial"/>
                <w:b/>
                <w:bCs/>
                <w:sz w:val="28"/>
                <w:szCs w:val="28"/>
              </w:rPr>
              <w:t xml:space="preserve">PROMOVENTE: </w:t>
            </w:r>
            <w:r w:rsidR="000D4263" w:rsidRPr="00F868F4">
              <w:rPr>
                <w:rFonts w:ascii="Arial" w:hAnsi="Arial" w:cs="Arial"/>
                <w:b/>
                <w:bCs/>
                <w:sz w:val="28"/>
                <w:szCs w:val="28"/>
              </w:rPr>
              <w:t>PARTIDO ACCIÓN NACIONAL</w:t>
            </w:r>
          </w:p>
        </w:tc>
      </w:tr>
    </w:tbl>
    <w:p w14:paraId="15F7B224" w14:textId="77777777" w:rsidR="00C27AAE" w:rsidRPr="00F868F4" w:rsidRDefault="00C27AAE" w:rsidP="00560252">
      <w:pPr>
        <w:jc w:val="both"/>
        <w:rPr>
          <w:rFonts w:ascii="Arial" w:hAnsi="Arial" w:cs="Arial"/>
          <w:sz w:val="28"/>
          <w:szCs w:val="28"/>
        </w:rPr>
      </w:pPr>
    </w:p>
    <w:p w14:paraId="74816AF1" w14:textId="42033BB8" w:rsidR="00430B91" w:rsidRPr="00F868F4" w:rsidRDefault="00430B91" w:rsidP="00430B91">
      <w:pPr>
        <w:rPr>
          <w:rFonts w:ascii="Arial" w:hAnsi="Arial" w:cs="Arial"/>
          <w:sz w:val="18"/>
          <w:szCs w:val="18"/>
        </w:rPr>
      </w:pPr>
    </w:p>
    <w:p w14:paraId="3405251C" w14:textId="77777777" w:rsidR="002A2744" w:rsidRPr="00F868F4" w:rsidRDefault="002A2744" w:rsidP="00430B91">
      <w:pPr>
        <w:rPr>
          <w:rFonts w:ascii="Arial" w:hAnsi="Arial" w:cs="Arial"/>
          <w:sz w:val="18"/>
          <w:szCs w:val="18"/>
        </w:rPr>
      </w:pPr>
    </w:p>
    <w:p w14:paraId="6715C34B" w14:textId="77777777" w:rsidR="0096281E" w:rsidRDefault="0096281E" w:rsidP="00845830">
      <w:pPr>
        <w:rPr>
          <w:rFonts w:ascii="Arial" w:hAnsi="Arial" w:cs="Arial"/>
          <w:b/>
          <w:sz w:val="28"/>
          <w:szCs w:val="28"/>
        </w:rPr>
      </w:pPr>
    </w:p>
    <w:p w14:paraId="042D21D6" w14:textId="50BB6B91" w:rsidR="00D71CE7" w:rsidRDefault="00D71CE7" w:rsidP="00D71CE7">
      <w:pPr>
        <w:spacing w:after="240"/>
        <w:rPr>
          <w:rFonts w:ascii="Arial" w:hAnsi="Arial" w:cs="Arial"/>
          <w:b/>
          <w:sz w:val="28"/>
          <w:szCs w:val="28"/>
        </w:rPr>
      </w:pPr>
      <w:r>
        <w:rPr>
          <w:rFonts w:ascii="Arial" w:hAnsi="Arial" w:cs="Arial"/>
          <w:b/>
          <w:sz w:val="28"/>
          <w:szCs w:val="28"/>
        </w:rPr>
        <w:t>PONENTE: MINISTRA ANA MARGARITA RÍOS FARJAT</w:t>
      </w:r>
    </w:p>
    <w:p w14:paraId="07833521" w14:textId="6E711B31" w:rsidR="00845830" w:rsidRPr="00F868F4" w:rsidRDefault="00845830" w:rsidP="00845830">
      <w:pPr>
        <w:rPr>
          <w:rFonts w:ascii="Arial" w:hAnsi="Arial" w:cs="Arial"/>
          <w:b/>
          <w:sz w:val="28"/>
          <w:szCs w:val="28"/>
        </w:rPr>
      </w:pPr>
      <w:r>
        <w:rPr>
          <w:rFonts w:ascii="Arial" w:hAnsi="Arial" w:cs="Arial"/>
          <w:b/>
          <w:sz w:val="28"/>
          <w:szCs w:val="28"/>
        </w:rPr>
        <w:t>ENCARGADO DEL ENGROSE</w:t>
      </w:r>
      <w:r w:rsidRPr="00F868F4">
        <w:rPr>
          <w:rFonts w:ascii="Arial" w:hAnsi="Arial" w:cs="Arial"/>
          <w:b/>
          <w:sz w:val="28"/>
          <w:szCs w:val="28"/>
        </w:rPr>
        <w:t xml:space="preserve">: </w:t>
      </w:r>
      <w:r w:rsidR="00E31258">
        <w:rPr>
          <w:rFonts w:ascii="Arial" w:hAnsi="Arial" w:cs="Arial"/>
          <w:b/>
          <w:sz w:val="28"/>
          <w:szCs w:val="28"/>
        </w:rPr>
        <w:t xml:space="preserve">MINISTRO </w:t>
      </w:r>
      <w:r>
        <w:rPr>
          <w:rFonts w:ascii="Arial" w:hAnsi="Arial" w:cs="Arial"/>
          <w:b/>
          <w:sz w:val="28"/>
          <w:szCs w:val="28"/>
        </w:rPr>
        <w:t>JUAN LUIS GONZÁLEZ ALCÁNTARA CARRANCÁ</w:t>
      </w:r>
    </w:p>
    <w:p w14:paraId="4F99E2DE" w14:textId="77777777" w:rsidR="00845830" w:rsidRPr="00F868F4" w:rsidRDefault="00845830" w:rsidP="00845830">
      <w:pPr>
        <w:rPr>
          <w:rFonts w:ascii="Arial" w:hAnsi="Arial" w:cs="Arial"/>
          <w:b/>
          <w:sz w:val="28"/>
          <w:szCs w:val="28"/>
        </w:rPr>
      </w:pPr>
    </w:p>
    <w:p w14:paraId="08C2081F" w14:textId="77777777" w:rsidR="006D1CC5" w:rsidRPr="00E96A83" w:rsidRDefault="006D1CC5" w:rsidP="006D1CC5">
      <w:pPr>
        <w:rPr>
          <w:rFonts w:ascii="Arial" w:hAnsi="Arial" w:cs="Arial"/>
          <w:b/>
          <w:sz w:val="28"/>
          <w:szCs w:val="28"/>
        </w:rPr>
      </w:pPr>
      <w:r w:rsidRPr="00E96A83">
        <w:rPr>
          <w:rFonts w:ascii="Arial" w:hAnsi="Arial" w:cs="Arial"/>
          <w:b/>
          <w:sz w:val="28"/>
          <w:szCs w:val="28"/>
        </w:rPr>
        <w:t>SECRETARIOS: JUAN JAIME GONZÁLEZ VARAS Y AUGUSTO ARTURO COLÍN AGUADO</w:t>
      </w:r>
    </w:p>
    <w:p w14:paraId="7C9DB733" w14:textId="77777777" w:rsidR="003861F4" w:rsidRPr="00F868F4" w:rsidRDefault="003861F4" w:rsidP="0096281E">
      <w:pPr>
        <w:spacing w:after="100" w:afterAutospacing="1" w:line="360" w:lineRule="auto"/>
        <w:jc w:val="both"/>
        <w:rPr>
          <w:rFonts w:ascii="Arial" w:hAnsi="Arial" w:cs="Arial"/>
          <w:bCs/>
          <w:sz w:val="28"/>
          <w:szCs w:val="28"/>
        </w:rPr>
      </w:pPr>
    </w:p>
    <w:p w14:paraId="2D521A20" w14:textId="3AD8DA87" w:rsidR="00F46890" w:rsidRPr="00F868F4" w:rsidRDefault="00C27AAE" w:rsidP="00560252">
      <w:pPr>
        <w:spacing w:before="100" w:beforeAutospacing="1" w:after="100" w:afterAutospacing="1" w:line="360" w:lineRule="auto"/>
        <w:jc w:val="both"/>
        <w:rPr>
          <w:rFonts w:ascii="Arial" w:hAnsi="Arial" w:cs="Arial"/>
          <w:bCs/>
          <w:sz w:val="28"/>
          <w:szCs w:val="28"/>
        </w:rPr>
      </w:pPr>
      <w:r w:rsidRPr="00F868F4">
        <w:rPr>
          <w:rFonts w:ascii="Arial" w:hAnsi="Arial" w:cs="Arial"/>
          <w:bCs/>
          <w:sz w:val="28"/>
          <w:szCs w:val="28"/>
        </w:rPr>
        <w:t xml:space="preserve">Ciudad de México. El Pleno de la Suprema Corte de Justicia de la Nación, en sesión correspondiente al </w:t>
      </w:r>
      <w:r w:rsidR="00100E34" w:rsidRPr="00B70727">
        <w:rPr>
          <w:rFonts w:ascii="Arial" w:hAnsi="Arial" w:cs="Arial"/>
          <w:b/>
          <w:sz w:val="28"/>
          <w:szCs w:val="28"/>
        </w:rPr>
        <w:t>dos</w:t>
      </w:r>
      <w:r w:rsidR="001E219B" w:rsidRPr="00B70727">
        <w:rPr>
          <w:rFonts w:ascii="Arial" w:hAnsi="Arial" w:cs="Arial"/>
          <w:b/>
          <w:sz w:val="28"/>
          <w:szCs w:val="28"/>
        </w:rPr>
        <w:t xml:space="preserve"> de </w:t>
      </w:r>
      <w:r w:rsidR="00100E34" w:rsidRPr="00B70727">
        <w:rPr>
          <w:rFonts w:ascii="Arial" w:hAnsi="Arial" w:cs="Arial"/>
          <w:b/>
          <w:sz w:val="28"/>
          <w:szCs w:val="28"/>
        </w:rPr>
        <w:t>diciembre</w:t>
      </w:r>
      <w:r w:rsidR="001E219B" w:rsidRPr="00B70727">
        <w:rPr>
          <w:rFonts w:ascii="Arial" w:hAnsi="Arial" w:cs="Arial"/>
          <w:b/>
          <w:sz w:val="28"/>
          <w:szCs w:val="28"/>
        </w:rPr>
        <w:t xml:space="preserve"> de dos mil </w:t>
      </w:r>
      <w:r w:rsidR="00E009C1" w:rsidRPr="00B70727">
        <w:rPr>
          <w:rFonts w:ascii="Arial" w:hAnsi="Arial" w:cs="Arial"/>
          <w:b/>
          <w:sz w:val="28"/>
          <w:szCs w:val="28"/>
        </w:rPr>
        <w:t>veinticuatro</w:t>
      </w:r>
      <w:r w:rsidR="001E219B" w:rsidRPr="00F868F4">
        <w:rPr>
          <w:rFonts w:ascii="Arial" w:hAnsi="Arial" w:cs="Arial"/>
          <w:bCs/>
          <w:sz w:val="28"/>
          <w:szCs w:val="28"/>
        </w:rPr>
        <w:t>,</w:t>
      </w:r>
      <w:r w:rsidRPr="00F868F4">
        <w:rPr>
          <w:rFonts w:ascii="Arial" w:hAnsi="Arial" w:cs="Arial"/>
          <w:bCs/>
          <w:sz w:val="28"/>
          <w:szCs w:val="28"/>
        </w:rPr>
        <w:t xml:space="preserve"> emite la siguiente:</w:t>
      </w:r>
    </w:p>
    <w:p w14:paraId="48CB3628" w14:textId="77777777" w:rsidR="00C27AAE" w:rsidRPr="00F868F4" w:rsidRDefault="00C27AAE" w:rsidP="00560252">
      <w:pPr>
        <w:pStyle w:val="Ttulo1"/>
        <w:rPr>
          <w:szCs w:val="28"/>
        </w:rPr>
      </w:pPr>
      <w:r w:rsidRPr="00F868F4">
        <w:rPr>
          <w:szCs w:val="28"/>
        </w:rPr>
        <w:t>SENTENCIA</w:t>
      </w:r>
    </w:p>
    <w:p w14:paraId="7F794E48" w14:textId="0EAB6FBA" w:rsidR="00AC4A19" w:rsidRPr="00F868F4" w:rsidRDefault="00C27AAE" w:rsidP="00F023A7">
      <w:pPr>
        <w:spacing w:before="100" w:beforeAutospacing="1" w:after="100" w:afterAutospacing="1" w:line="360" w:lineRule="auto"/>
        <w:jc w:val="both"/>
        <w:rPr>
          <w:rFonts w:ascii="Arial" w:hAnsi="Arial" w:cs="Arial"/>
          <w:sz w:val="28"/>
          <w:szCs w:val="28"/>
        </w:rPr>
      </w:pPr>
      <w:r w:rsidRPr="00F868F4">
        <w:rPr>
          <w:rFonts w:ascii="Arial" w:hAnsi="Arial" w:cs="Arial"/>
          <w:sz w:val="28"/>
          <w:szCs w:val="28"/>
        </w:rPr>
        <w:t>Mediante la cual se resuelve la</w:t>
      </w:r>
      <w:r w:rsidR="00B4312A" w:rsidRPr="00F868F4">
        <w:rPr>
          <w:rFonts w:ascii="Arial" w:hAnsi="Arial" w:cs="Arial"/>
          <w:sz w:val="28"/>
          <w:szCs w:val="28"/>
        </w:rPr>
        <w:t xml:space="preserve"> acción de inconstitucionalidad 47/2024, promovid</w:t>
      </w:r>
      <w:r w:rsidR="005058F7" w:rsidRPr="00F868F4">
        <w:rPr>
          <w:rFonts w:ascii="Arial" w:hAnsi="Arial" w:cs="Arial"/>
          <w:sz w:val="28"/>
          <w:szCs w:val="28"/>
        </w:rPr>
        <w:t>a</w:t>
      </w:r>
      <w:r w:rsidR="00B4312A" w:rsidRPr="00F868F4">
        <w:rPr>
          <w:rFonts w:ascii="Arial" w:hAnsi="Arial" w:cs="Arial"/>
          <w:sz w:val="28"/>
          <w:szCs w:val="28"/>
        </w:rPr>
        <w:t xml:space="preserve"> por el Partido Acción Nacional</w:t>
      </w:r>
      <w:r w:rsidR="00B4312A" w:rsidRPr="00F868F4">
        <w:rPr>
          <w:rStyle w:val="Refdenotaalpie"/>
          <w:rFonts w:ascii="Arial" w:hAnsi="Arial" w:cs="Arial"/>
          <w:sz w:val="28"/>
          <w:szCs w:val="28"/>
        </w:rPr>
        <w:footnoteReference w:id="2"/>
      </w:r>
      <w:r w:rsidR="00B4312A" w:rsidRPr="00F868F4">
        <w:rPr>
          <w:rFonts w:ascii="Arial" w:hAnsi="Arial" w:cs="Arial"/>
          <w:sz w:val="28"/>
          <w:szCs w:val="28"/>
        </w:rPr>
        <w:t>,</w:t>
      </w:r>
      <w:r w:rsidR="00DE66EA" w:rsidRPr="00F868F4">
        <w:rPr>
          <w:rFonts w:ascii="Arial" w:hAnsi="Arial" w:cs="Arial"/>
          <w:sz w:val="28"/>
          <w:szCs w:val="28"/>
        </w:rPr>
        <w:t xml:space="preserve"> a través del Presidente </w:t>
      </w:r>
      <w:r w:rsidR="00CA3639" w:rsidRPr="00F868F4">
        <w:rPr>
          <w:rFonts w:ascii="Arial" w:hAnsi="Arial" w:cs="Arial"/>
          <w:sz w:val="28"/>
          <w:szCs w:val="28"/>
        </w:rPr>
        <w:t xml:space="preserve">de su Comité </w:t>
      </w:r>
      <w:r w:rsidR="00157447" w:rsidRPr="00F868F4">
        <w:rPr>
          <w:rFonts w:ascii="Arial" w:hAnsi="Arial" w:cs="Arial"/>
          <w:sz w:val="28"/>
          <w:szCs w:val="28"/>
        </w:rPr>
        <w:t xml:space="preserve">Ejecutivo Nacional, </w:t>
      </w:r>
      <w:r w:rsidR="009F7CAC" w:rsidRPr="00F868F4">
        <w:rPr>
          <w:rFonts w:ascii="Arial" w:hAnsi="Arial" w:cs="Arial"/>
          <w:sz w:val="28"/>
          <w:szCs w:val="28"/>
        </w:rPr>
        <w:t xml:space="preserve">en contra del Decreto núm. 1624, por el que se </w:t>
      </w:r>
      <w:r w:rsidR="0016208D" w:rsidRPr="00F868F4">
        <w:rPr>
          <w:rFonts w:ascii="Arial" w:hAnsi="Arial" w:cs="Arial"/>
          <w:sz w:val="28"/>
          <w:szCs w:val="28"/>
        </w:rPr>
        <w:t>reformó</w:t>
      </w:r>
      <w:r w:rsidR="009F7CAC" w:rsidRPr="00F868F4">
        <w:rPr>
          <w:rFonts w:ascii="Arial" w:hAnsi="Arial" w:cs="Arial"/>
          <w:sz w:val="28"/>
          <w:szCs w:val="28"/>
        </w:rPr>
        <w:t xml:space="preserve"> </w:t>
      </w:r>
      <w:r w:rsidR="00F023A7" w:rsidRPr="00F868F4">
        <w:rPr>
          <w:rFonts w:ascii="Arial" w:hAnsi="Arial" w:cs="Arial"/>
          <w:sz w:val="28"/>
          <w:szCs w:val="28"/>
        </w:rPr>
        <w:t>el artículo 25, base A, fracción I,</w:t>
      </w:r>
      <w:r w:rsidR="009F7CAC" w:rsidRPr="00F868F4">
        <w:rPr>
          <w:rFonts w:ascii="Arial" w:hAnsi="Arial" w:cs="Arial"/>
          <w:sz w:val="28"/>
          <w:szCs w:val="28"/>
        </w:rPr>
        <w:t xml:space="preserve"> de la Constitución Política del Estado Libre y Soberano de Oaxaca</w:t>
      </w:r>
      <w:r w:rsidR="00892015" w:rsidRPr="00F868F4">
        <w:rPr>
          <w:rStyle w:val="Refdenotaalpie"/>
          <w:rFonts w:ascii="Arial" w:hAnsi="Arial" w:cs="Arial"/>
          <w:sz w:val="28"/>
          <w:szCs w:val="28"/>
        </w:rPr>
        <w:footnoteReference w:id="3"/>
      </w:r>
      <w:r w:rsidR="00892015" w:rsidRPr="00F868F4">
        <w:rPr>
          <w:rFonts w:ascii="Arial" w:hAnsi="Arial" w:cs="Arial"/>
          <w:sz w:val="28"/>
          <w:szCs w:val="28"/>
        </w:rPr>
        <w:t>.</w:t>
      </w:r>
    </w:p>
    <w:p w14:paraId="26D3B443" w14:textId="14A7BADA" w:rsidR="00C27AAE" w:rsidRPr="00F868F4" w:rsidRDefault="00C27AAE" w:rsidP="007D1ED7">
      <w:pPr>
        <w:pStyle w:val="Ttulo1"/>
        <w:rPr>
          <w:szCs w:val="28"/>
        </w:rPr>
      </w:pPr>
      <w:r w:rsidRPr="00F868F4">
        <w:rPr>
          <w:szCs w:val="28"/>
        </w:rPr>
        <w:t xml:space="preserve">ANTECEDENTES </w:t>
      </w:r>
      <w:r w:rsidR="00C418DF" w:rsidRPr="00F868F4">
        <w:rPr>
          <w:szCs w:val="28"/>
        </w:rPr>
        <w:t>Y TRÁMITE DE LA DEMANDA</w:t>
      </w:r>
    </w:p>
    <w:p w14:paraId="628F3307" w14:textId="49808D04" w:rsidR="00896211" w:rsidRPr="00F868F4" w:rsidRDefault="00C418DF" w:rsidP="00C27AAE">
      <w:pPr>
        <w:pStyle w:val="Prrafo"/>
        <w:numPr>
          <w:ilvl w:val="0"/>
          <w:numId w:val="1"/>
        </w:numPr>
        <w:ind w:left="0" w:hanging="567"/>
        <w:rPr>
          <w:sz w:val="28"/>
          <w:szCs w:val="28"/>
        </w:rPr>
      </w:pPr>
      <w:r w:rsidRPr="00F868F4">
        <w:rPr>
          <w:b/>
          <w:sz w:val="28"/>
          <w:szCs w:val="28"/>
        </w:rPr>
        <w:t>Publicación del Decreto</w:t>
      </w:r>
      <w:r w:rsidR="00362168" w:rsidRPr="00F868F4">
        <w:rPr>
          <w:b/>
          <w:sz w:val="28"/>
          <w:szCs w:val="28"/>
        </w:rPr>
        <w:t xml:space="preserve"> impugnado</w:t>
      </w:r>
      <w:r w:rsidR="00C27AAE" w:rsidRPr="00F868F4">
        <w:rPr>
          <w:sz w:val="28"/>
          <w:szCs w:val="28"/>
        </w:rPr>
        <w:t xml:space="preserve">. </w:t>
      </w:r>
      <w:r w:rsidRPr="00F868F4">
        <w:rPr>
          <w:sz w:val="28"/>
          <w:szCs w:val="28"/>
        </w:rPr>
        <w:t xml:space="preserve">El </w:t>
      </w:r>
      <w:r w:rsidR="00896211" w:rsidRPr="00F868F4">
        <w:rPr>
          <w:sz w:val="28"/>
          <w:szCs w:val="28"/>
        </w:rPr>
        <w:t>treinta de diciembre de dos mil veintitrés se publicó en el Periódico Oficial del Estado de Oaxaca el Decreto núm</w:t>
      </w:r>
      <w:r w:rsidR="008900E0" w:rsidRPr="00F868F4">
        <w:rPr>
          <w:sz w:val="28"/>
          <w:szCs w:val="28"/>
        </w:rPr>
        <w:t>.</w:t>
      </w:r>
      <w:r w:rsidR="00896211" w:rsidRPr="00F868F4">
        <w:rPr>
          <w:sz w:val="28"/>
          <w:szCs w:val="28"/>
        </w:rPr>
        <w:t xml:space="preserve"> 1624, mediante el cual se</w:t>
      </w:r>
      <w:r w:rsidR="00FF21C5" w:rsidRPr="00F868F4">
        <w:rPr>
          <w:sz w:val="28"/>
          <w:szCs w:val="28"/>
        </w:rPr>
        <w:t xml:space="preserve"> reformó </w:t>
      </w:r>
      <w:r w:rsidR="00AE5A10" w:rsidRPr="00F868F4">
        <w:rPr>
          <w:sz w:val="28"/>
          <w:szCs w:val="28"/>
        </w:rPr>
        <w:t>el artículo 25 de la</w:t>
      </w:r>
      <w:r w:rsidR="00FF21C5" w:rsidRPr="00F868F4">
        <w:rPr>
          <w:sz w:val="28"/>
          <w:szCs w:val="28"/>
        </w:rPr>
        <w:t xml:space="preserve"> Constitución local</w:t>
      </w:r>
      <w:r w:rsidR="00E606A7" w:rsidRPr="00F868F4">
        <w:rPr>
          <w:sz w:val="28"/>
          <w:szCs w:val="28"/>
        </w:rPr>
        <w:t>,</w:t>
      </w:r>
      <w:r w:rsidR="007E66C5" w:rsidRPr="00F868F4">
        <w:rPr>
          <w:sz w:val="28"/>
          <w:szCs w:val="28"/>
        </w:rPr>
        <w:t xml:space="preserve"> con el objeto de establec</w:t>
      </w:r>
      <w:r w:rsidR="00684888" w:rsidRPr="00F868F4">
        <w:rPr>
          <w:sz w:val="28"/>
          <w:szCs w:val="28"/>
        </w:rPr>
        <w:t xml:space="preserve">er que </w:t>
      </w:r>
      <w:r w:rsidR="007E66C5" w:rsidRPr="00F868F4">
        <w:rPr>
          <w:sz w:val="28"/>
          <w:szCs w:val="28"/>
        </w:rPr>
        <w:t xml:space="preserve">las tres elecciones </w:t>
      </w:r>
      <w:r w:rsidR="00684888" w:rsidRPr="00F868F4">
        <w:rPr>
          <w:sz w:val="28"/>
          <w:szCs w:val="28"/>
        </w:rPr>
        <w:lastRenderedPageBreak/>
        <w:t>estatales se celebrarán de forma concurrente</w:t>
      </w:r>
      <w:r w:rsidR="007E66C5" w:rsidRPr="00F868F4">
        <w:rPr>
          <w:sz w:val="28"/>
          <w:szCs w:val="28"/>
        </w:rPr>
        <w:t xml:space="preserve"> con los comicios federales, </w:t>
      </w:r>
      <w:r w:rsidR="002E61B2" w:rsidRPr="00F868F4">
        <w:rPr>
          <w:sz w:val="28"/>
          <w:szCs w:val="28"/>
        </w:rPr>
        <w:t>en los términos siguientes</w:t>
      </w:r>
      <w:r w:rsidR="007E66C5" w:rsidRPr="00F868F4">
        <w:rPr>
          <w:sz w:val="28"/>
          <w:szCs w:val="28"/>
        </w:rPr>
        <w:t>:</w:t>
      </w:r>
    </w:p>
    <w:tbl>
      <w:tblPr>
        <w:tblStyle w:val="Tablaconcuadrcula"/>
        <w:tblW w:w="9067" w:type="dxa"/>
        <w:jc w:val="center"/>
        <w:tblLook w:val="04A0" w:firstRow="1" w:lastRow="0" w:firstColumn="1" w:lastColumn="0" w:noHBand="0" w:noVBand="1"/>
      </w:tblPr>
      <w:tblGrid>
        <w:gridCol w:w="4537"/>
        <w:gridCol w:w="4530"/>
      </w:tblGrid>
      <w:tr w:rsidR="0028350D" w:rsidRPr="00F868F4" w14:paraId="59CCFC29" w14:textId="77777777">
        <w:trPr>
          <w:trHeight w:val="118"/>
          <w:jc w:val="center"/>
        </w:trPr>
        <w:tc>
          <w:tcPr>
            <w:tcW w:w="45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AB447A9" w14:textId="77777777" w:rsidR="0028350D" w:rsidRPr="00F868F4" w:rsidRDefault="0028350D">
            <w:pPr>
              <w:spacing w:after="120"/>
              <w:ind w:left="284" w:hanging="284"/>
              <w:jc w:val="center"/>
              <w:rPr>
                <w:b/>
                <w:bCs/>
              </w:rPr>
            </w:pPr>
            <w:r w:rsidRPr="00F868F4">
              <w:rPr>
                <w:b/>
                <w:bCs/>
              </w:rPr>
              <w:t>Texto previo</w:t>
            </w:r>
          </w:p>
        </w:tc>
        <w:tc>
          <w:tcPr>
            <w:tcW w:w="453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12DEC40" w14:textId="4DEBA211" w:rsidR="0028350D" w:rsidRPr="00F868F4" w:rsidRDefault="0028350D">
            <w:pPr>
              <w:spacing w:after="120"/>
              <w:ind w:left="284" w:hanging="284"/>
              <w:jc w:val="center"/>
              <w:rPr>
                <w:b/>
                <w:bCs/>
              </w:rPr>
            </w:pPr>
            <w:r w:rsidRPr="00F868F4">
              <w:rPr>
                <w:b/>
                <w:bCs/>
              </w:rPr>
              <w:t xml:space="preserve">Texto derivado del Decreto impugnado (se resaltan las porciones </w:t>
            </w:r>
            <w:r w:rsidR="005B62E2" w:rsidRPr="00F868F4">
              <w:rPr>
                <w:b/>
                <w:bCs/>
              </w:rPr>
              <w:t>reformadas</w:t>
            </w:r>
            <w:r w:rsidRPr="00F868F4">
              <w:rPr>
                <w:b/>
                <w:bCs/>
              </w:rPr>
              <w:t>)</w:t>
            </w:r>
          </w:p>
        </w:tc>
      </w:tr>
      <w:tr w:rsidR="0028350D" w:rsidRPr="00F868F4" w14:paraId="23D11B0A" w14:textId="77777777">
        <w:trPr>
          <w:jc w:val="center"/>
        </w:trPr>
        <w:tc>
          <w:tcPr>
            <w:tcW w:w="4537" w:type="dxa"/>
            <w:tcBorders>
              <w:top w:val="single" w:sz="4" w:space="0" w:color="auto"/>
              <w:left w:val="single" w:sz="4" w:space="0" w:color="auto"/>
              <w:bottom w:val="single" w:sz="4" w:space="0" w:color="auto"/>
              <w:right w:val="single" w:sz="4" w:space="0" w:color="auto"/>
            </w:tcBorders>
            <w:hideMark/>
          </w:tcPr>
          <w:p w14:paraId="4478740D" w14:textId="77777777" w:rsidR="007256EC" w:rsidRPr="00F868F4" w:rsidRDefault="0028350D">
            <w:pPr>
              <w:spacing w:after="120"/>
              <w:ind w:left="284" w:hanging="284"/>
              <w:jc w:val="both"/>
            </w:pPr>
            <w:r w:rsidRPr="00F868F4">
              <w:rPr>
                <w:b/>
                <w:bCs/>
              </w:rPr>
              <w:t xml:space="preserve">Artículo </w:t>
            </w:r>
            <w:r w:rsidR="008E32AD" w:rsidRPr="00F868F4">
              <w:rPr>
                <w:b/>
                <w:bCs/>
              </w:rPr>
              <w:t>25</w:t>
            </w:r>
            <w:r w:rsidRPr="00F868F4">
              <w:rPr>
                <w:b/>
                <w:bCs/>
              </w:rPr>
              <w:t xml:space="preserve">. </w:t>
            </w:r>
            <w:r w:rsidR="007256EC" w:rsidRPr="00F868F4">
              <w:t>El sistema electoral y de participación ciudadana del Estado se regirá por las siguientes bases:</w:t>
            </w:r>
          </w:p>
          <w:p w14:paraId="5BD9AED0" w14:textId="5CA8FC8F" w:rsidR="007256EC" w:rsidRPr="00F868F4" w:rsidRDefault="007256EC">
            <w:pPr>
              <w:spacing w:after="120"/>
              <w:ind w:left="284" w:hanging="284"/>
              <w:jc w:val="both"/>
            </w:pPr>
            <w:r w:rsidRPr="00F868F4">
              <w:rPr>
                <w:b/>
                <w:bCs/>
              </w:rPr>
              <w:t xml:space="preserve">A. </w:t>
            </w:r>
            <w:r w:rsidRPr="00F868F4">
              <w:t>DE LAS ELECCIONES</w:t>
            </w:r>
          </w:p>
          <w:p w14:paraId="67933600" w14:textId="119FAF4A" w:rsidR="0042514B" w:rsidRPr="00F868F4" w:rsidRDefault="0042514B" w:rsidP="0042514B">
            <w:pPr>
              <w:spacing w:after="120"/>
              <w:ind w:left="284" w:hanging="284"/>
              <w:jc w:val="both"/>
            </w:pPr>
            <w:r w:rsidRPr="00F868F4">
              <w:t>Los procesos electorales y de participación ciudadana son actos de interés público.</w:t>
            </w:r>
          </w:p>
          <w:p w14:paraId="39EA5077" w14:textId="25E2D5D1" w:rsidR="0042514B" w:rsidRPr="00F868F4" w:rsidRDefault="0042514B" w:rsidP="0042514B">
            <w:pPr>
              <w:spacing w:after="120"/>
              <w:ind w:left="284" w:hanging="284"/>
              <w:jc w:val="both"/>
            </w:pPr>
            <w:r w:rsidRPr="00F868F4">
              <w:t>La organización, desarrollo, vigilancia y calificación de las elecciones es una función estatal que se realiza por el Instituto Estatal Electoral y de Participación Ciudadana de Oaxaca y el Instituto Nacional Electoral, en los términos de la Constitución Política de los Estados Unidos Mexicanos, la Ley General de Instituciones y Procedimientos Electorales, la Ley General de Partidos Políticos, esta Constitución y la legislación aplicable.</w:t>
            </w:r>
          </w:p>
          <w:p w14:paraId="25A5D057" w14:textId="77777777" w:rsidR="0042514B" w:rsidRPr="00F868F4" w:rsidRDefault="0042514B" w:rsidP="0042514B">
            <w:pPr>
              <w:spacing w:after="120"/>
              <w:ind w:left="284" w:hanging="284"/>
              <w:jc w:val="both"/>
            </w:pPr>
            <w:r w:rsidRPr="00F868F4">
              <w:t>En el ejercicio de la función electoral, a cargo de las autoridades electorales, serán principios rectores los de certeza, imparcialidad, independencia, legalidad, interculturalidad, máxima publicidad y objetividad.</w:t>
            </w:r>
          </w:p>
          <w:p w14:paraId="0CF2030E" w14:textId="58CF9B77" w:rsidR="0042514B" w:rsidRPr="00F868F4" w:rsidRDefault="0042514B" w:rsidP="0042514B">
            <w:pPr>
              <w:spacing w:after="120"/>
              <w:ind w:left="284" w:hanging="284"/>
              <w:jc w:val="both"/>
              <w:rPr>
                <w:b/>
                <w:bCs/>
              </w:rPr>
            </w:pPr>
            <w:r w:rsidRPr="00F868F4">
              <w:rPr>
                <w:b/>
                <w:bCs/>
              </w:rPr>
              <w:t xml:space="preserve">I. </w:t>
            </w:r>
            <w:r w:rsidRPr="00F868F4">
              <w:t>Las elecciones de Gobernador del Estado, Diputados Locales y de los Ayuntamientos por el régimen de partidos políticos y de candidatos independientes, se celebrar</w:t>
            </w:r>
            <w:r w:rsidR="003213EA" w:rsidRPr="00F868F4">
              <w:t>á</w:t>
            </w:r>
            <w:r w:rsidRPr="00F868F4">
              <w:t>n mediante sufragio universal, efectivo, libre, secreto y directo, el primer domingo de junio del año que corresponda.</w:t>
            </w:r>
          </w:p>
          <w:p w14:paraId="23A4B33F" w14:textId="3754831E" w:rsidR="0042514B" w:rsidRPr="00F868F4" w:rsidRDefault="0042514B" w:rsidP="0042514B">
            <w:pPr>
              <w:spacing w:after="120"/>
              <w:ind w:left="284" w:hanging="284"/>
              <w:jc w:val="both"/>
            </w:pPr>
            <w:r w:rsidRPr="00F868F4">
              <w:t>[…]</w:t>
            </w:r>
          </w:p>
          <w:p w14:paraId="75D0DC69" w14:textId="1DF5FD7D" w:rsidR="0028350D" w:rsidRPr="00F868F4" w:rsidRDefault="0028350D">
            <w:pPr>
              <w:spacing w:after="120"/>
              <w:ind w:left="284" w:hanging="284"/>
              <w:jc w:val="both"/>
              <w:rPr>
                <w:b/>
                <w:bCs/>
              </w:rPr>
            </w:pPr>
          </w:p>
        </w:tc>
        <w:tc>
          <w:tcPr>
            <w:tcW w:w="4530" w:type="dxa"/>
            <w:tcBorders>
              <w:top w:val="single" w:sz="4" w:space="0" w:color="auto"/>
              <w:left w:val="single" w:sz="4" w:space="0" w:color="auto"/>
              <w:bottom w:val="single" w:sz="4" w:space="0" w:color="auto"/>
              <w:right w:val="single" w:sz="4" w:space="0" w:color="auto"/>
            </w:tcBorders>
            <w:hideMark/>
          </w:tcPr>
          <w:p w14:paraId="1150DF45" w14:textId="0A333BFB" w:rsidR="0028350D" w:rsidRPr="00F868F4" w:rsidRDefault="0028350D" w:rsidP="00372160">
            <w:pPr>
              <w:spacing w:after="120"/>
              <w:ind w:left="284" w:hanging="284"/>
              <w:jc w:val="both"/>
            </w:pPr>
            <w:r w:rsidRPr="00F868F4">
              <w:rPr>
                <w:b/>
                <w:bCs/>
              </w:rPr>
              <w:t xml:space="preserve">Artículo </w:t>
            </w:r>
            <w:r w:rsidR="00372160" w:rsidRPr="00F868F4">
              <w:rPr>
                <w:b/>
                <w:bCs/>
              </w:rPr>
              <w:t>25</w:t>
            </w:r>
            <w:r w:rsidRPr="00F868F4">
              <w:rPr>
                <w:b/>
                <w:bCs/>
              </w:rPr>
              <w:t xml:space="preserve">. </w:t>
            </w:r>
            <w:r w:rsidR="00372160" w:rsidRPr="00F868F4">
              <w:t>[…]</w:t>
            </w:r>
          </w:p>
          <w:p w14:paraId="7979FC9A" w14:textId="76C02F39" w:rsidR="0028350D" w:rsidRPr="00F868F4" w:rsidRDefault="00180794">
            <w:pPr>
              <w:spacing w:after="120"/>
              <w:ind w:left="284" w:hanging="284"/>
              <w:jc w:val="both"/>
            </w:pPr>
            <w:r w:rsidRPr="00F868F4">
              <w:t>[…]</w:t>
            </w:r>
          </w:p>
          <w:p w14:paraId="5B34177A" w14:textId="77777777" w:rsidR="00D4092D" w:rsidRPr="00F868F4" w:rsidRDefault="00D4092D">
            <w:pPr>
              <w:spacing w:after="120"/>
              <w:ind w:left="284" w:hanging="284"/>
              <w:jc w:val="both"/>
            </w:pPr>
          </w:p>
          <w:p w14:paraId="51014087" w14:textId="77777777" w:rsidR="00D4092D" w:rsidRPr="00F868F4" w:rsidRDefault="00D4092D">
            <w:pPr>
              <w:spacing w:after="120"/>
              <w:ind w:left="284" w:hanging="284"/>
              <w:jc w:val="both"/>
            </w:pPr>
          </w:p>
          <w:p w14:paraId="269CA5CF" w14:textId="77777777" w:rsidR="00D4092D" w:rsidRPr="00F868F4" w:rsidRDefault="00D4092D">
            <w:pPr>
              <w:spacing w:after="120"/>
              <w:ind w:left="284" w:hanging="284"/>
              <w:jc w:val="both"/>
            </w:pPr>
          </w:p>
          <w:p w14:paraId="0B6049EB" w14:textId="77777777" w:rsidR="00D4092D" w:rsidRPr="00F868F4" w:rsidRDefault="00D4092D">
            <w:pPr>
              <w:spacing w:after="120"/>
              <w:ind w:left="284" w:hanging="284"/>
              <w:jc w:val="both"/>
            </w:pPr>
          </w:p>
          <w:p w14:paraId="1231BC21" w14:textId="77777777" w:rsidR="00D4092D" w:rsidRPr="00F868F4" w:rsidRDefault="00D4092D">
            <w:pPr>
              <w:spacing w:after="120"/>
              <w:ind w:left="284" w:hanging="284"/>
              <w:jc w:val="both"/>
            </w:pPr>
          </w:p>
          <w:p w14:paraId="567ED5A4" w14:textId="77777777" w:rsidR="00D4092D" w:rsidRPr="00F868F4" w:rsidRDefault="00D4092D">
            <w:pPr>
              <w:spacing w:after="120"/>
              <w:ind w:left="284" w:hanging="284"/>
              <w:jc w:val="both"/>
            </w:pPr>
          </w:p>
          <w:p w14:paraId="7CDF3A5E" w14:textId="77777777" w:rsidR="00D4092D" w:rsidRPr="00F868F4" w:rsidRDefault="00D4092D">
            <w:pPr>
              <w:spacing w:after="120"/>
              <w:ind w:left="284" w:hanging="284"/>
              <w:jc w:val="both"/>
            </w:pPr>
          </w:p>
          <w:p w14:paraId="192C0C5B" w14:textId="77777777" w:rsidR="00D4092D" w:rsidRPr="00F868F4" w:rsidRDefault="00D4092D">
            <w:pPr>
              <w:spacing w:after="120"/>
              <w:ind w:left="284" w:hanging="284"/>
              <w:jc w:val="both"/>
            </w:pPr>
          </w:p>
          <w:p w14:paraId="1D742F11" w14:textId="77777777" w:rsidR="00D4092D" w:rsidRPr="00F868F4" w:rsidRDefault="00D4092D">
            <w:pPr>
              <w:spacing w:after="120"/>
              <w:ind w:left="284" w:hanging="284"/>
              <w:jc w:val="both"/>
            </w:pPr>
          </w:p>
          <w:p w14:paraId="2DBBA266" w14:textId="77777777" w:rsidR="00D4092D" w:rsidRPr="00F868F4" w:rsidRDefault="00D4092D">
            <w:pPr>
              <w:spacing w:after="120"/>
              <w:ind w:left="284" w:hanging="284"/>
              <w:jc w:val="both"/>
            </w:pPr>
          </w:p>
          <w:p w14:paraId="6B3DB2F1" w14:textId="77777777" w:rsidR="00D4092D" w:rsidRPr="00F868F4" w:rsidRDefault="00D4092D">
            <w:pPr>
              <w:spacing w:after="120"/>
              <w:ind w:left="284" w:hanging="284"/>
              <w:jc w:val="both"/>
            </w:pPr>
          </w:p>
          <w:p w14:paraId="53EDABA6" w14:textId="77777777" w:rsidR="00D4092D" w:rsidRPr="00F868F4" w:rsidRDefault="00D4092D">
            <w:pPr>
              <w:spacing w:after="120"/>
              <w:ind w:left="284" w:hanging="284"/>
              <w:jc w:val="both"/>
            </w:pPr>
          </w:p>
          <w:p w14:paraId="06BB29E6" w14:textId="77777777" w:rsidR="00D4092D" w:rsidRPr="00F868F4" w:rsidRDefault="00D4092D">
            <w:pPr>
              <w:spacing w:after="120"/>
              <w:ind w:left="284" w:hanging="284"/>
              <w:jc w:val="both"/>
            </w:pPr>
          </w:p>
          <w:p w14:paraId="0660D063" w14:textId="77777777" w:rsidR="00D4092D" w:rsidRPr="00F868F4" w:rsidRDefault="00D4092D">
            <w:pPr>
              <w:spacing w:after="120"/>
              <w:ind w:left="284" w:hanging="284"/>
              <w:jc w:val="both"/>
            </w:pPr>
          </w:p>
          <w:p w14:paraId="3683702A" w14:textId="77777777" w:rsidR="00D4092D" w:rsidRPr="00F868F4" w:rsidRDefault="00D4092D">
            <w:pPr>
              <w:spacing w:after="120"/>
              <w:ind w:left="284" w:hanging="284"/>
              <w:jc w:val="both"/>
            </w:pPr>
          </w:p>
          <w:p w14:paraId="3B3D7434" w14:textId="77777777" w:rsidR="00D4092D" w:rsidRPr="00F868F4" w:rsidRDefault="00D4092D" w:rsidP="00D4092D">
            <w:pPr>
              <w:spacing w:after="120"/>
              <w:jc w:val="both"/>
            </w:pPr>
          </w:p>
          <w:p w14:paraId="79425E09" w14:textId="77777777" w:rsidR="0028350D" w:rsidRPr="00F868F4" w:rsidRDefault="00F26706" w:rsidP="00F26706">
            <w:pPr>
              <w:spacing w:after="120"/>
              <w:ind w:left="284" w:hanging="284"/>
              <w:jc w:val="both"/>
            </w:pPr>
            <w:r w:rsidRPr="00F868F4">
              <w:rPr>
                <w:b/>
                <w:bCs/>
              </w:rPr>
              <w:t xml:space="preserve">I. </w:t>
            </w:r>
            <w:r w:rsidRPr="00F868F4">
              <w:t xml:space="preserve">Las elecciones de Gobernador del Estado, Diputados Locales y de los Ayuntamientos por el régimen de partidos políticos y de candidatos independientes, se celebrarán </w:t>
            </w:r>
            <w:r w:rsidRPr="00F868F4">
              <w:rPr>
                <w:b/>
                <w:bCs/>
              </w:rPr>
              <w:t>de manera concurrente con los comicios federales,</w:t>
            </w:r>
            <w:r w:rsidRPr="00F868F4">
              <w:t xml:space="preserve"> mediante sufragio universal, efectivo, libre, secreto y directo, el primer domingo de junio del año que corresponda.</w:t>
            </w:r>
          </w:p>
          <w:p w14:paraId="45F003DD" w14:textId="2D6666DE" w:rsidR="00D4092D" w:rsidRPr="00F868F4" w:rsidRDefault="00D4092D" w:rsidP="00F26706">
            <w:pPr>
              <w:spacing w:after="120"/>
              <w:ind w:left="284" w:hanging="284"/>
              <w:jc w:val="both"/>
            </w:pPr>
            <w:r w:rsidRPr="00F868F4">
              <w:t>[…]</w:t>
            </w:r>
          </w:p>
        </w:tc>
      </w:tr>
    </w:tbl>
    <w:p w14:paraId="5CA3F90F" w14:textId="781C3209" w:rsidR="005F0252" w:rsidRPr="00F868F4" w:rsidRDefault="005F0252" w:rsidP="0075718C">
      <w:pPr>
        <w:pStyle w:val="Prrafo"/>
        <w:numPr>
          <w:ilvl w:val="0"/>
          <w:numId w:val="1"/>
        </w:numPr>
        <w:ind w:left="0" w:hanging="567"/>
        <w:rPr>
          <w:b/>
          <w:bCs/>
          <w:sz w:val="28"/>
          <w:szCs w:val="28"/>
        </w:rPr>
      </w:pPr>
      <w:r w:rsidRPr="00F868F4">
        <w:rPr>
          <w:sz w:val="28"/>
          <w:szCs w:val="28"/>
        </w:rPr>
        <w:lastRenderedPageBreak/>
        <w:t xml:space="preserve">En los artículos transitorios del </w:t>
      </w:r>
      <w:r w:rsidR="000C7919" w:rsidRPr="00F868F4">
        <w:rPr>
          <w:sz w:val="28"/>
          <w:szCs w:val="28"/>
        </w:rPr>
        <w:t>d</w:t>
      </w:r>
      <w:r w:rsidRPr="00F868F4">
        <w:rPr>
          <w:sz w:val="28"/>
          <w:szCs w:val="28"/>
        </w:rPr>
        <w:t xml:space="preserve">ecreto se precisaron los siguientes </w:t>
      </w:r>
      <w:r w:rsidR="00391B7E" w:rsidRPr="00F868F4">
        <w:rPr>
          <w:sz w:val="28"/>
          <w:szCs w:val="28"/>
        </w:rPr>
        <w:t>efectos</w:t>
      </w:r>
      <w:r w:rsidR="00DC481F" w:rsidRPr="00F868F4">
        <w:rPr>
          <w:rStyle w:val="Refdenotaalpie"/>
          <w:sz w:val="28"/>
          <w:szCs w:val="28"/>
        </w:rPr>
        <w:footnoteReference w:id="4"/>
      </w:r>
      <w:r w:rsidRPr="00F868F4">
        <w:rPr>
          <w:sz w:val="28"/>
          <w:szCs w:val="28"/>
        </w:rPr>
        <w:t xml:space="preserve">: </w:t>
      </w:r>
      <w:r w:rsidRPr="00F868F4">
        <w:rPr>
          <w:b/>
          <w:bCs/>
          <w:sz w:val="28"/>
          <w:szCs w:val="28"/>
        </w:rPr>
        <w:t>i)</w:t>
      </w:r>
      <w:r w:rsidRPr="00F868F4">
        <w:rPr>
          <w:sz w:val="28"/>
          <w:szCs w:val="28"/>
        </w:rPr>
        <w:t xml:space="preserve"> que el decreto entrará en vigor el primero de enero de dos mil veinticinco</w:t>
      </w:r>
      <w:r w:rsidR="001B1FD0" w:rsidRPr="00F868F4">
        <w:rPr>
          <w:sz w:val="28"/>
          <w:szCs w:val="28"/>
        </w:rPr>
        <w:t xml:space="preserve"> (segundo)</w:t>
      </w:r>
      <w:r w:rsidRPr="00F868F4">
        <w:rPr>
          <w:sz w:val="28"/>
          <w:szCs w:val="28"/>
        </w:rPr>
        <w:t xml:space="preserve">; </w:t>
      </w:r>
      <w:r w:rsidRPr="00F868F4">
        <w:rPr>
          <w:b/>
          <w:bCs/>
          <w:sz w:val="28"/>
          <w:szCs w:val="28"/>
        </w:rPr>
        <w:t>ii)</w:t>
      </w:r>
      <w:r w:rsidRPr="00F868F4">
        <w:rPr>
          <w:sz w:val="28"/>
          <w:szCs w:val="28"/>
        </w:rPr>
        <w:t xml:space="preserve"> </w:t>
      </w:r>
      <w:r w:rsidR="003B6563" w:rsidRPr="00F868F4">
        <w:rPr>
          <w:sz w:val="28"/>
          <w:szCs w:val="28"/>
        </w:rPr>
        <w:t xml:space="preserve">que la reforma no será aplicable a la persona titular del Poder Ejecutivo que esté en funciones a la entrada en vigor del decreto (tercero), y </w:t>
      </w:r>
      <w:r w:rsidR="003B6563" w:rsidRPr="00F868F4">
        <w:rPr>
          <w:b/>
          <w:bCs/>
          <w:sz w:val="28"/>
          <w:szCs w:val="28"/>
        </w:rPr>
        <w:t>iii)</w:t>
      </w:r>
      <w:r w:rsidR="003B6563" w:rsidRPr="00F868F4">
        <w:rPr>
          <w:sz w:val="28"/>
          <w:szCs w:val="28"/>
        </w:rPr>
        <w:t xml:space="preserve"> con la finalidad de cumplir con la reforma y para lograr la concurrencia de la elección de la Gubernatura con los comicios federales, por única ocasión, </w:t>
      </w:r>
      <w:r w:rsidR="00814F07" w:rsidRPr="00F868F4">
        <w:rPr>
          <w:sz w:val="28"/>
          <w:szCs w:val="28"/>
        </w:rPr>
        <w:t xml:space="preserve">la persona titular del Ejecutivo que se elija el primer domingo de junio </w:t>
      </w:r>
      <w:r w:rsidR="0043631D" w:rsidRPr="00F868F4">
        <w:rPr>
          <w:sz w:val="28"/>
          <w:szCs w:val="28"/>
        </w:rPr>
        <w:t>de</w:t>
      </w:r>
      <w:r w:rsidR="00814F07" w:rsidRPr="00F868F4">
        <w:rPr>
          <w:sz w:val="28"/>
          <w:szCs w:val="28"/>
        </w:rPr>
        <w:t xml:space="preserve"> dos mil veintiocho</w:t>
      </w:r>
      <w:r w:rsidR="000864DC" w:rsidRPr="00F868F4">
        <w:rPr>
          <w:sz w:val="28"/>
          <w:szCs w:val="28"/>
        </w:rPr>
        <w:t xml:space="preserve"> iniciará su periodo el primero de diciembre de ese año y lo concluirá el treinta de noviembre de dos mil treinta</w:t>
      </w:r>
      <w:r w:rsidR="000B3F48" w:rsidRPr="00F868F4">
        <w:rPr>
          <w:sz w:val="28"/>
          <w:szCs w:val="28"/>
        </w:rPr>
        <w:t xml:space="preserve"> (cuarto)</w:t>
      </w:r>
      <w:r w:rsidR="000864DC" w:rsidRPr="00F868F4">
        <w:rPr>
          <w:sz w:val="28"/>
          <w:szCs w:val="28"/>
        </w:rPr>
        <w:t>.</w:t>
      </w:r>
    </w:p>
    <w:p w14:paraId="26447DA8" w14:textId="44157D88" w:rsidR="0022384A" w:rsidRPr="00F868F4" w:rsidRDefault="001D6444" w:rsidP="0022384A">
      <w:pPr>
        <w:pStyle w:val="Prrafo"/>
        <w:numPr>
          <w:ilvl w:val="0"/>
          <w:numId w:val="1"/>
        </w:numPr>
        <w:ind w:left="0" w:hanging="567"/>
        <w:rPr>
          <w:b/>
          <w:bCs/>
          <w:sz w:val="28"/>
          <w:szCs w:val="28"/>
        </w:rPr>
      </w:pPr>
      <w:r w:rsidRPr="00F868F4">
        <w:rPr>
          <w:b/>
          <w:bCs/>
          <w:sz w:val="28"/>
          <w:szCs w:val="28"/>
        </w:rPr>
        <w:t xml:space="preserve">Promoción de </w:t>
      </w:r>
      <w:r w:rsidR="00080F25" w:rsidRPr="00F868F4">
        <w:rPr>
          <w:b/>
          <w:bCs/>
          <w:sz w:val="28"/>
          <w:szCs w:val="28"/>
        </w:rPr>
        <w:t>la</w:t>
      </w:r>
      <w:r w:rsidRPr="00F868F4">
        <w:rPr>
          <w:b/>
          <w:bCs/>
          <w:sz w:val="28"/>
          <w:szCs w:val="28"/>
        </w:rPr>
        <w:t xml:space="preserve"> </w:t>
      </w:r>
      <w:r w:rsidR="00080F25" w:rsidRPr="00F868F4">
        <w:rPr>
          <w:b/>
          <w:bCs/>
          <w:sz w:val="28"/>
          <w:szCs w:val="28"/>
        </w:rPr>
        <w:t>acción</w:t>
      </w:r>
      <w:r w:rsidRPr="00F868F4">
        <w:rPr>
          <w:b/>
          <w:bCs/>
          <w:sz w:val="28"/>
          <w:szCs w:val="28"/>
        </w:rPr>
        <w:t xml:space="preserve"> de inconstitucionalidad</w:t>
      </w:r>
      <w:r w:rsidR="009704DA" w:rsidRPr="00F868F4">
        <w:rPr>
          <w:b/>
          <w:bCs/>
          <w:sz w:val="28"/>
          <w:szCs w:val="28"/>
        </w:rPr>
        <w:t xml:space="preserve"> y conceptos de invalidez</w:t>
      </w:r>
      <w:r w:rsidRPr="00F868F4">
        <w:rPr>
          <w:b/>
          <w:bCs/>
          <w:sz w:val="28"/>
          <w:szCs w:val="28"/>
        </w:rPr>
        <w:t xml:space="preserve">. </w:t>
      </w:r>
      <w:r w:rsidR="0075718C" w:rsidRPr="00F868F4">
        <w:rPr>
          <w:sz w:val="28"/>
          <w:szCs w:val="28"/>
        </w:rPr>
        <w:t>El</w:t>
      </w:r>
      <w:r w:rsidR="007A3885" w:rsidRPr="00F868F4">
        <w:rPr>
          <w:sz w:val="28"/>
          <w:szCs w:val="28"/>
        </w:rPr>
        <w:t xml:space="preserve"> </w:t>
      </w:r>
      <w:r w:rsidR="000A5AEF" w:rsidRPr="00F868F4">
        <w:rPr>
          <w:sz w:val="28"/>
          <w:szCs w:val="28"/>
        </w:rPr>
        <w:t>veintinueve de enero</w:t>
      </w:r>
      <w:r w:rsidR="0022384A" w:rsidRPr="00F868F4">
        <w:rPr>
          <w:sz w:val="28"/>
          <w:szCs w:val="28"/>
        </w:rPr>
        <w:t xml:space="preserve"> de dos mil veinticuatro, </w:t>
      </w:r>
      <w:r w:rsidR="00671426" w:rsidRPr="00F868F4">
        <w:rPr>
          <w:sz w:val="28"/>
          <w:szCs w:val="28"/>
        </w:rPr>
        <w:t>el Presidente del Comité Ejecutivo Nacional</w:t>
      </w:r>
      <w:r w:rsidR="0022384A" w:rsidRPr="00F868F4">
        <w:rPr>
          <w:sz w:val="28"/>
          <w:szCs w:val="28"/>
        </w:rPr>
        <w:t xml:space="preserve"> del PAN</w:t>
      </w:r>
      <w:r w:rsidR="000A5AEF" w:rsidRPr="00F868F4">
        <w:rPr>
          <w:sz w:val="28"/>
          <w:szCs w:val="28"/>
        </w:rPr>
        <w:t xml:space="preserve"> presentó </w:t>
      </w:r>
      <w:r w:rsidR="0022384A" w:rsidRPr="00F868F4">
        <w:rPr>
          <w:bCs/>
        </w:rPr>
        <w:t>—</w:t>
      </w:r>
      <w:r w:rsidR="0022384A" w:rsidRPr="00F868F4">
        <w:rPr>
          <w:sz w:val="28"/>
          <w:szCs w:val="28"/>
        </w:rPr>
        <w:t>a través del Buzón Judicial de la Oficina de Certificación Judicial y Correspondencia de esta Suprema Corte de Justicia de la Nación</w:t>
      </w:r>
      <w:r w:rsidR="0022384A" w:rsidRPr="00F868F4">
        <w:rPr>
          <w:bCs/>
        </w:rPr>
        <w:t xml:space="preserve">— </w:t>
      </w:r>
      <w:r w:rsidR="0022384A" w:rsidRPr="00F868F4">
        <w:rPr>
          <w:sz w:val="28"/>
          <w:szCs w:val="28"/>
        </w:rPr>
        <w:t>un escrito de demanda de acción de inconstitucionalidad en contra del Decreto núm. 1624.</w:t>
      </w:r>
    </w:p>
    <w:p w14:paraId="7732F7AA" w14:textId="6224008C" w:rsidR="00671426" w:rsidRPr="00F868F4" w:rsidRDefault="001619CD" w:rsidP="0022384A">
      <w:pPr>
        <w:pStyle w:val="Prrafo"/>
        <w:numPr>
          <w:ilvl w:val="0"/>
          <w:numId w:val="1"/>
        </w:numPr>
        <w:ind w:left="0" w:hanging="567"/>
        <w:rPr>
          <w:b/>
          <w:bCs/>
          <w:sz w:val="28"/>
          <w:szCs w:val="28"/>
        </w:rPr>
      </w:pPr>
      <w:r w:rsidRPr="00F868F4">
        <w:rPr>
          <w:sz w:val="28"/>
          <w:szCs w:val="28"/>
        </w:rPr>
        <w:t xml:space="preserve">Planteó que el decreto viola los artículos 1º, 2º, 8º, 9º, 14, 15, 16, 34, 35, fracción II, 41, párrafo segundo, 73, fracción XXXIX-U, 124 y 133 de la Constitución Política del país, </w:t>
      </w:r>
      <w:r w:rsidR="00E74C03" w:rsidRPr="00F868F4">
        <w:rPr>
          <w:sz w:val="28"/>
          <w:szCs w:val="28"/>
        </w:rPr>
        <w:t xml:space="preserve">con base en los </w:t>
      </w:r>
      <w:r w:rsidR="00633900" w:rsidRPr="00F868F4">
        <w:rPr>
          <w:sz w:val="28"/>
          <w:szCs w:val="28"/>
        </w:rPr>
        <w:t>argumentos</w:t>
      </w:r>
      <w:r w:rsidR="00E74C03" w:rsidRPr="00F868F4">
        <w:rPr>
          <w:sz w:val="28"/>
          <w:szCs w:val="28"/>
        </w:rPr>
        <w:t xml:space="preserve"> que se sintetizan enseguida:</w:t>
      </w:r>
    </w:p>
    <w:p w14:paraId="756006A7" w14:textId="1B5E0E12" w:rsidR="00F948BE" w:rsidRPr="00F868F4" w:rsidRDefault="00F948BE" w:rsidP="008A6B0F">
      <w:pPr>
        <w:pStyle w:val="Prrafo"/>
        <w:numPr>
          <w:ilvl w:val="0"/>
          <w:numId w:val="6"/>
        </w:numPr>
        <w:spacing w:line="276" w:lineRule="auto"/>
        <w:rPr>
          <w:b/>
          <w:bCs/>
          <w:sz w:val="28"/>
          <w:szCs w:val="28"/>
        </w:rPr>
      </w:pPr>
      <w:r w:rsidRPr="00F868F4">
        <w:rPr>
          <w:b/>
          <w:bCs/>
          <w:sz w:val="28"/>
          <w:szCs w:val="28"/>
        </w:rPr>
        <w:lastRenderedPageBreak/>
        <w:t>Violación a</w:t>
      </w:r>
      <w:r w:rsidR="00043139" w:rsidRPr="00F868F4">
        <w:rPr>
          <w:b/>
          <w:bCs/>
          <w:sz w:val="28"/>
          <w:szCs w:val="28"/>
        </w:rPr>
        <w:t>l principio de paridad de género</w:t>
      </w:r>
      <w:r w:rsidRPr="00F868F4">
        <w:rPr>
          <w:sz w:val="28"/>
          <w:szCs w:val="28"/>
        </w:rPr>
        <w:t>.</w:t>
      </w:r>
      <w:r w:rsidR="002B5BF1" w:rsidRPr="00F868F4">
        <w:rPr>
          <w:sz w:val="28"/>
          <w:szCs w:val="28"/>
        </w:rPr>
        <w:t xml:space="preserve"> </w:t>
      </w:r>
      <w:r w:rsidR="00EB6A1F" w:rsidRPr="00F868F4">
        <w:rPr>
          <w:sz w:val="28"/>
          <w:szCs w:val="28"/>
        </w:rPr>
        <w:t xml:space="preserve">Con base en la reforma constitucional en materia de “Paridad en Todo”, publicada el </w:t>
      </w:r>
      <w:r w:rsidR="00915FC6" w:rsidRPr="00F868F4">
        <w:rPr>
          <w:sz w:val="28"/>
          <w:szCs w:val="28"/>
        </w:rPr>
        <w:t xml:space="preserve">seis de junio de dos mil diecinueve, así como </w:t>
      </w:r>
      <w:r w:rsidR="00DB4C36" w:rsidRPr="00F868F4">
        <w:rPr>
          <w:sz w:val="28"/>
          <w:szCs w:val="28"/>
        </w:rPr>
        <w:t>de</w:t>
      </w:r>
      <w:r w:rsidR="00915FC6" w:rsidRPr="00F868F4">
        <w:rPr>
          <w:sz w:val="28"/>
          <w:szCs w:val="28"/>
        </w:rPr>
        <w:t xml:space="preserve"> diversos acuerdos del Consejo General del Instituto Nacional Electoral y sentencias de la Sala Superior del Tribunal Electoral del Poder Judicial de la Federación, </w:t>
      </w:r>
      <w:r w:rsidR="00DB4C36" w:rsidRPr="00F868F4">
        <w:rPr>
          <w:sz w:val="28"/>
          <w:szCs w:val="28"/>
        </w:rPr>
        <w:t>la próxima persona que ocupe la Gubernatura debe ser mujer.</w:t>
      </w:r>
    </w:p>
    <w:p w14:paraId="1591C683" w14:textId="11AB635D" w:rsidR="00FA7526" w:rsidRPr="00F868F4" w:rsidRDefault="000F5849" w:rsidP="00FA7526">
      <w:pPr>
        <w:pStyle w:val="Prrafo"/>
        <w:spacing w:line="276" w:lineRule="auto"/>
        <w:ind w:left="720"/>
        <w:rPr>
          <w:sz w:val="28"/>
          <w:szCs w:val="28"/>
        </w:rPr>
      </w:pPr>
      <w:r w:rsidRPr="00F868F4">
        <w:rPr>
          <w:sz w:val="28"/>
          <w:szCs w:val="28"/>
        </w:rPr>
        <w:t>En consecuencia, reducir el period</w:t>
      </w:r>
      <w:r w:rsidR="00136229" w:rsidRPr="00F868F4">
        <w:rPr>
          <w:sz w:val="28"/>
          <w:szCs w:val="28"/>
        </w:rPr>
        <w:t xml:space="preserve">o a dos años afectaría a las mujeres que </w:t>
      </w:r>
      <w:r w:rsidR="00E07D01" w:rsidRPr="00F868F4">
        <w:rPr>
          <w:sz w:val="28"/>
          <w:szCs w:val="28"/>
        </w:rPr>
        <w:t>pretendan</w:t>
      </w:r>
      <w:r w:rsidR="00136229" w:rsidRPr="00F868F4">
        <w:rPr>
          <w:sz w:val="28"/>
          <w:szCs w:val="28"/>
        </w:rPr>
        <w:t xml:space="preserve"> participar y les impediría </w:t>
      </w:r>
      <w:r w:rsidR="007F10CF" w:rsidRPr="00F868F4">
        <w:rPr>
          <w:sz w:val="28"/>
          <w:szCs w:val="28"/>
        </w:rPr>
        <w:t>desempeñar el cargo por seis años, como establece la Constitución local.</w:t>
      </w:r>
      <w:r w:rsidR="003E1F4C" w:rsidRPr="00F868F4">
        <w:rPr>
          <w:sz w:val="28"/>
          <w:szCs w:val="28"/>
        </w:rPr>
        <w:t xml:space="preserve"> </w:t>
      </w:r>
      <w:r w:rsidR="00215A4B" w:rsidRPr="00F868F4">
        <w:rPr>
          <w:sz w:val="28"/>
          <w:szCs w:val="28"/>
        </w:rPr>
        <w:t>El decreto implica un retr</w:t>
      </w:r>
      <w:r w:rsidR="007E5D73" w:rsidRPr="00F868F4">
        <w:rPr>
          <w:sz w:val="28"/>
          <w:szCs w:val="28"/>
        </w:rPr>
        <w:t>oceso respecto a la garantía de igualdad entre mujeres y hombres en el acceso a los puestos de representación política.</w:t>
      </w:r>
    </w:p>
    <w:p w14:paraId="2B2A2A5F" w14:textId="5A6CCF6A" w:rsidR="00BB38CE" w:rsidRPr="00F868F4" w:rsidRDefault="00B956EE" w:rsidP="008A6B0F">
      <w:pPr>
        <w:pStyle w:val="Prrafo"/>
        <w:numPr>
          <w:ilvl w:val="0"/>
          <w:numId w:val="6"/>
        </w:numPr>
        <w:spacing w:line="276" w:lineRule="auto"/>
        <w:rPr>
          <w:b/>
          <w:bCs/>
          <w:sz w:val="28"/>
          <w:szCs w:val="28"/>
        </w:rPr>
      </w:pPr>
      <w:r w:rsidRPr="00F868F4">
        <w:rPr>
          <w:b/>
          <w:bCs/>
          <w:sz w:val="28"/>
          <w:szCs w:val="28"/>
        </w:rPr>
        <w:t xml:space="preserve">Inobservancia del deber de consultar </w:t>
      </w:r>
      <w:r w:rsidR="00DB57BA" w:rsidRPr="00F868F4">
        <w:rPr>
          <w:b/>
          <w:bCs/>
          <w:sz w:val="28"/>
          <w:szCs w:val="28"/>
        </w:rPr>
        <w:t>previamente</w:t>
      </w:r>
      <w:r w:rsidRPr="00F868F4">
        <w:rPr>
          <w:b/>
          <w:bCs/>
          <w:sz w:val="28"/>
          <w:szCs w:val="28"/>
        </w:rPr>
        <w:t xml:space="preserve"> a las comunidades indígenas y afromexicanas.</w:t>
      </w:r>
      <w:r w:rsidRPr="00F868F4">
        <w:rPr>
          <w:sz w:val="28"/>
          <w:szCs w:val="28"/>
        </w:rPr>
        <w:t xml:space="preserve"> </w:t>
      </w:r>
      <w:r w:rsidR="00942C2A" w:rsidRPr="00F868F4">
        <w:rPr>
          <w:sz w:val="28"/>
          <w:szCs w:val="28"/>
        </w:rPr>
        <w:t xml:space="preserve">Partiendo de que </w:t>
      </w:r>
      <w:r w:rsidR="00DE2FDD" w:rsidRPr="00F868F4">
        <w:rPr>
          <w:sz w:val="28"/>
          <w:szCs w:val="28"/>
        </w:rPr>
        <w:t>Oaxaca es</w:t>
      </w:r>
      <w:r w:rsidR="00942C2A" w:rsidRPr="00F868F4">
        <w:rPr>
          <w:sz w:val="28"/>
          <w:szCs w:val="28"/>
        </w:rPr>
        <w:t xml:space="preserve"> un estado “netamente indígena”, pues</w:t>
      </w:r>
      <w:r w:rsidR="00105535" w:rsidRPr="00F868F4">
        <w:rPr>
          <w:sz w:val="28"/>
          <w:szCs w:val="28"/>
        </w:rPr>
        <w:t xml:space="preserve"> en él radica</w:t>
      </w:r>
      <w:r w:rsidR="00942C2A" w:rsidRPr="00F868F4">
        <w:rPr>
          <w:sz w:val="28"/>
          <w:szCs w:val="28"/>
        </w:rPr>
        <w:t xml:space="preserve"> el diecinueve punto tres por ciento (19.3 %) del total de hablantes de </w:t>
      </w:r>
      <w:r w:rsidR="00DE2FDD" w:rsidRPr="00F868F4">
        <w:rPr>
          <w:sz w:val="28"/>
          <w:szCs w:val="28"/>
        </w:rPr>
        <w:t>lenguas indígenas</w:t>
      </w:r>
      <w:r w:rsidR="00942C2A" w:rsidRPr="00F868F4">
        <w:rPr>
          <w:sz w:val="28"/>
          <w:szCs w:val="28"/>
        </w:rPr>
        <w:t xml:space="preserve"> en el país</w:t>
      </w:r>
      <w:r w:rsidR="00105535" w:rsidRPr="00F868F4">
        <w:rPr>
          <w:sz w:val="28"/>
          <w:szCs w:val="28"/>
        </w:rPr>
        <w:t>, no se realizó una consulta previa</w:t>
      </w:r>
      <w:r w:rsidR="00BB38CE" w:rsidRPr="00F868F4">
        <w:rPr>
          <w:sz w:val="28"/>
          <w:szCs w:val="28"/>
        </w:rPr>
        <w:t>. Los pueblos indígenas tienen derecho a participar en las decisiones importantes del estado</w:t>
      </w:r>
      <w:r w:rsidR="005300A7" w:rsidRPr="00F868F4">
        <w:rPr>
          <w:sz w:val="28"/>
          <w:szCs w:val="28"/>
        </w:rPr>
        <w:t xml:space="preserve"> y que pueden afectar sus derechos políticos, como lo es el cambio del periodo </w:t>
      </w:r>
      <w:r w:rsidR="00D70E35" w:rsidRPr="00F868F4">
        <w:rPr>
          <w:sz w:val="28"/>
          <w:szCs w:val="28"/>
        </w:rPr>
        <w:t>de</w:t>
      </w:r>
      <w:r w:rsidR="005300A7" w:rsidRPr="00F868F4">
        <w:rPr>
          <w:sz w:val="28"/>
          <w:szCs w:val="28"/>
        </w:rPr>
        <w:t xml:space="preserve"> gobierno.</w:t>
      </w:r>
    </w:p>
    <w:p w14:paraId="5B756BB1" w14:textId="0D1FFBBD" w:rsidR="00614BB2" w:rsidRPr="00F868F4" w:rsidRDefault="00152F0B" w:rsidP="008A6B0F">
      <w:pPr>
        <w:pStyle w:val="Prrafo"/>
        <w:numPr>
          <w:ilvl w:val="0"/>
          <w:numId w:val="6"/>
        </w:numPr>
        <w:spacing w:line="276" w:lineRule="auto"/>
        <w:rPr>
          <w:b/>
          <w:bCs/>
          <w:sz w:val="28"/>
          <w:szCs w:val="28"/>
        </w:rPr>
      </w:pPr>
      <w:r w:rsidRPr="00F868F4">
        <w:rPr>
          <w:b/>
          <w:bCs/>
          <w:sz w:val="28"/>
          <w:szCs w:val="28"/>
        </w:rPr>
        <w:t>Violación del artículo 116 de la Constitución Política del país.</w:t>
      </w:r>
      <w:r w:rsidRPr="00F868F4">
        <w:rPr>
          <w:sz w:val="28"/>
          <w:szCs w:val="28"/>
        </w:rPr>
        <w:t xml:space="preserve"> </w:t>
      </w:r>
      <w:r w:rsidR="00E07D01" w:rsidRPr="00F868F4">
        <w:rPr>
          <w:sz w:val="28"/>
          <w:szCs w:val="28"/>
        </w:rPr>
        <w:t>En la Constitución se establece que las gubernat</w:t>
      </w:r>
      <w:r w:rsidR="00EB2F39" w:rsidRPr="00F868F4">
        <w:rPr>
          <w:sz w:val="28"/>
          <w:szCs w:val="28"/>
        </w:rPr>
        <w:t>uras deben ser de seis años, por lo que se viola</w:t>
      </w:r>
      <w:r w:rsidR="00614BB2" w:rsidRPr="00F868F4">
        <w:rPr>
          <w:sz w:val="28"/>
          <w:szCs w:val="28"/>
        </w:rPr>
        <w:t xml:space="preserve"> el principio de supremacía constitucional.</w:t>
      </w:r>
    </w:p>
    <w:p w14:paraId="1C39F4AF" w14:textId="32E3AE16" w:rsidR="0062040A" w:rsidRPr="00F868F4" w:rsidRDefault="00E047E0" w:rsidP="008A6B0F">
      <w:pPr>
        <w:pStyle w:val="Prrafo"/>
        <w:numPr>
          <w:ilvl w:val="0"/>
          <w:numId w:val="6"/>
        </w:numPr>
        <w:spacing w:line="276" w:lineRule="auto"/>
        <w:rPr>
          <w:b/>
          <w:bCs/>
          <w:sz w:val="28"/>
          <w:szCs w:val="28"/>
        </w:rPr>
      </w:pPr>
      <w:r w:rsidRPr="00F868F4">
        <w:rPr>
          <w:sz w:val="28"/>
          <w:szCs w:val="28"/>
        </w:rPr>
        <w:t>Los vicios</w:t>
      </w:r>
      <w:r w:rsidR="00614BB2" w:rsidRPr="00F868F4">
        <w:rPr>
          <w:sz w:val="28"/>
          <w:szCs w:val="28"/>
        </w:rPr>
        <w:t xml:space="preserve"> </w:t>
      </w:r>
      <w:r w:rsidRPr="00F868F4">
        <w:rPr>
          <w:sz w:val="28"/>
          <w:szCs w:val="28"/>
        </w:rPr>
        <w:t>alegados</w:t>
      </w:r>
      <w:r w:rsidR="00614BB2" w:rsidRPr="00F868F4">
        <w:rPr>
          <w:sz w:val="28"/>
          <w:szCs w:val="28"/>
        </w:rPr>
        <w:t xml:space="preserve"> se traducen en una vulneración de los principios de seguridad jurídica, certeza</w:t>
      </w:r>
      <w:r w:rsidR="004F6D2A" w:rsidRPr="00F868F4">
        <w:rPr>
          <w:sz w:val="28"/>
          <w:szCs w:val="28"/>
        </w:rPr>
        <w:t xml:space="preserve"> electoral</w:t>
      </w:r>
      <w:r w:rsidR="00614BB2" w:rsidRPr="00F868F4">
        <w:rPr>
          <w:sz w:val="28"/>
          <w:szCs w:val="28"/>
        </w:rPr>
        <w:t xml:space="preserve"> y legalidad.</w:t>
      </w:r>
    </w:p>
    <w:p w14:paraId="7B6DF03A" w14:textId="04D63F06" w:rsidR="00FC2EDE" w:rsidRPr="00F868F4" w:rsidRDefault="00453D36" w:rsidP="00640CEF">
      <w:pPr>
        <w:pStyle w:val="Prrafo"/>
        <w:numPr>
          <w:ilvl w:val="0"/>
          <w:numId w:val="1"/>
        </w:numPr>
        <w:ind w:left="0" w:hanging="567"/>
        <w:rPr>
          <w:b/>
          <w:bCs/>
          <w:sz w:val="28"/>
          <w:szCs w:val="28"/>
        </w:rPr>
      </w:pPr>
      <w:r w:rsidRPr="00F868F4">
        <w:rPr>
          <w:b/>
          <w:bCs/>
          <w:sz w:val="28"/>
          <w:szCs w:val="28"/>
        </w:rPr>
        <w:t>Registro y turno</w:t>
      </w:r>
      <w:r w:rsidR="00C27AAE" w:rsidRPr="00F868F4">
        <w:rPr>
          <w:b/>
          <w:bCs/>
          <w:sz w:val="28"/>
          <w:szCs w:val="28"/>
        </w:rPr>
        <w:t xml:space="preserve">. </w:t>
      </w:r>
      <w:r w:rsidR="00FC2EDE" w:rsidRPr="00F868F4">
        <w:rPr>
          <w:sz w:val="28"/>
          <w:szCs w:val="28"/>
        </w:rPr>
        <w:t xml:space="preserve">El </w:t>
      </w:r>
      <w:r w:rsidR="00925D9D" w:rsidRPr="00F868F4">
        <w:rPr>
          <w:sz w:val="28"/>
          <w:szCs w:val="28"/>
        </w:rPr>
        <w:t xml:space="preserve">treinta y uno de enero siguiente, la Presidenta de esta Suprema Corte de Justicia de la Nación emitió </w:t>
      </w:r>
      <w:r w:rsidR="00AA0C0C" w:rsidRPr="00F868F4">
        <w:rPr>
          <w:sz w:val="28"/>
          <w:szCs w:val="28"/>
        </w:rPr>
        <w:t>un acuerdo a través del cual tuvo por presentada la demanda</w:t>
      </w:r>
      <w:r w:rsidR="0042235F" w:rsidRPr="00F868F4">
        <w:rPr>
          <w:sz w:val="28"/>
          <w:szCs w:val="28"/>
        </w:rPr>
        <w:t xml:space="preserve">, ordenó la formación y registro del expediente </w:t>
      </w:r>
      <w:r w:rsidR="004A1BA8" w:rsidRPr="00F868F4">
        <w:rPr>
          <w:sz w:val="28"/>
          <w:szCs w:val="28"/>
        </w:rPr>
        <w:t>de</w:t>
      </w:r>
      <w:r w:rsidR="0042235F" w:rsidRPr="00F868F4">
        <w:rPr>
          <w:sz w:val="28"/>
          <w:szCs w:val="28"/>
        </w:rPr>
        <w:t xml:space="preserve"> la acción de inconstitucionalidad 47/2024</w:t>
      </w:r>
      <w:r w:rsidR="00640CEF" w:rsidRPr="00F868F4">
        <w:rPr>
          <w:sz w:val="28"/>
          <w:szCs w:val="28"/>
        </w:rPr>
        <w:t xml:space="preserve">, y lo turnó a </w:t>
      </w:r>
      <w:r w:rsidR="00640CEF" w:rsidRPr="00F868F4">
        <w:rPr>
          <w:sz w:val="28"/>
          <w:szCs w:val="28"/>
        </w:rPr>
        <w:lastRenderedPageBreak/>
        <w:t xml:space="preserve">la Ministra </w:t>
      </w:r>
      <w:r w:rsidR="00D10BC3" w:rsidRPr="00F868F4">
        <w:rPr>
          <w:sz w:val="28"/>
          <w:szCs w:val="28"/>
        </w:rPr>
        <w:t xml:space="preserve">Ana Margarita Ríos Farjat, para la instrucción </w:t>
      </w:r>
      <w:r w:rsidR="00640CEF" w:rsidRPr="00F868F4">
        <w:rPr>
          <w:sz w:val="28"/>
          <w:szCs w:val="28"/>
        </w:rPr>
        <w:t>del</w:t>
      </w:r>
      <w:r w:rsidR="00D10BC3" w:rsidRPr="00F868F4">
        <w:rPr>
          <w:sz w:val="28"/>
          <w:szCs w:val="28"/>
        </w:rPr>
        <w:t xml:space="preserve"> procedimiento correspondiente.</w:t>
      </w:r>
    </w:p>
    <w:p w14:paraId="28D41AF2" w14:textId="6888CBF6" w:rsidR="00494142" w:rsidRPr="00F868F4" w:rsidRDefault="00494142" w:rsidP="00494142">
      <w:pPr>
        <w:pStyle w:val="Prrafo"/>
        <w:numPr>
          <w:ilvl w:val="0"/>
          <w:numId w:val="1"/>
        </w:numPr>
        <w:ind w:left="0" w:hanging="567"/>
        <w:rPr>
          <w:b/>
          <w:bCs/>
          <w:sz w:val="28"/>
          <w:szCs w:val="28"/>
        </w:rPr>
      </w:pPr>
      <w:r w:rsidRPr="00F868F4">
        <w:rPr>
          <w:b/>
          <w:bCs/>
          <w:sz w:val="28"/>
          <w:szCs w:val="28"/>
        </w:rPr>
        <w:t>Promoción de una diversa acción de inconstitucionalidad</w:t>
      </w:r>
      <w:r w:rsidR="001946E5" w:rsidRPr="00F868F4">
        <w:rPr>
          <w:b/>
          <w:bCs/>
          <w:sz w:val="28"/>
          <w:szCs w:val="28"/>
        </w:rPr>
        <w:t xml:space="preserve"> y acumulación</w:t>
      </w:r>
      <w:r w:rsidRPr="00F868F4">
        <w:rPr>
          <w:b/>
          <w:bCs/>
          <w:sz w:val="28"/>
          <w:szCs w:val="28"/>
        </w:rPr>
        <w:t xml:space="preserve">. </w:t>
      </w:r>
      <w:r w:rsidRPr="00F868F4">
        <w:rPr>
          <w:sz w:val="28"/>
          <w:szCs w:val="28"/>
        </w:rPr>
        <w:t>Asimismo, el veintinueve de febrero de dos mil veinticuatro, en representación del Partido Político Unidad Popular, se promovió una acción de inconstitucionalidad</w:t>
      </w:r>
      <w:r w:rsidR="006A6197">
        <w:rPr>
          <w:sz w:val="28"/>
          <w:szCs w:val="28"/>
        </w:rPr>
        <w:t xml:space="preserve"> en contra</w:t>
      </w:r>
      <w:r w:rsidRPr="00F868F4">
        <w:rPr>
          <w:sz w:val="28"/>
          <w:szCs w:val="28"/>
        </w:rPr>
        <w:t xml:space="preserve"> del mismo decreto.</w:t>
      </w:r>
      <w:r w:rsidR="001946E5" w:rsidRPr="00F868F4">
        <w:rPr>
          <w:sz w:val="28"/>
          <w:szCs w:val="28"/>
        </w:rPr>
        <w:t xml:space="preserve"> A través de un auto de cinco de marzo </w:t>
      </w:r>
      <w:r w:rsidR="003276EB" w:rsidRPr="00F868F4">
        <w:rPr>
          <w:sz w:val="28"/>
          <w:szCs w:val="28"/>
        </w:rPr>
        <w:t>del año en curso, la Ministra Presidenta</w:t>
      </w:r>
      <w:r w:rsidR="00D678CF" w:rsidRPr="00F868F4">
        <w:rPr>
          <w:sz w:val="28"/>
          <w:szCs w:val="28"/>
        </w:rPr>
        <w:t xml:space="preserve"> de esta Suprema Corte</w:t>
      </w:r>
      <w:r w:rsidR="003276EB" w:rsidRPr="00F868F4">
        <w:rPr>
          <w:sz w:val="28"/>
          <w:szCs w:val="28"/>
        </w:rPr>
        <w:t xml:space="preserve"> tuvo por presentada la demanda</w:t>
      </w:r>
      <w:r w:rsidR="00486452" w:rsidRPr="00F868F4">
        <w:rPr>
          <w:sz w:val="28"/>
          <w:szCs w:val="28"/>
        </w:rPr>
        <w:t xml:space="preserve">, por lo que </w:t>
      </w:r>
      <w:r w:rsidR="003276EB" w:rsidRPr="00F868F4">
        <w:rPr>
          <w:sz w:val="28"/>
          <w:szCs w:val="28"/>
        </w:rPr>
        <w:t xml:space="preserve">ordenó integrar el expediente de la </w:t>
      </w:r>
      <w:r w:rsidR="003276EB" w:rsidRPr="00F868F4">
        <w:rPr>
          <w:b/>
          <w:bCs/>
          <w:sz w:val="28"/>
          <w:szCs w:val="28"/>
        </w:rPr>
        <w:t>acción de inconstitucionalidad 62/2024</w:t>
      </w:r>
      <w:r w:rsidR="00486452" w:rsidRPr="00F868F4">
        <w:rPr>
          <w:sz w:val="28"/>
          <w:szCs w:val="28"/>
        </w:rPr>
        <w:t xml:space="preserve"> y, en virtud de la identidad respecto al decreto legislativo impugnado, se ordenó su acumulación </w:t>
      </w:r>
      <w:r w:rsidR="0082745D" w:rsidRPr="00F868F4">
        <w:rPr>
          <w:sz w:val="28"/>
          <w:szCs w:val="28"/>
        </w:rPr>
        <w:t xml:space="preserve">a la </w:t>
      </w:r>
      <w:r w:rsidR="0082745D" w:rsidRPr="00F868F4">
        <w:rPr>
          <w:b/>
          <w:bCs/>
          <w:sz w:val="28"/>
          <w:szCs w:val="28"/>
        </w:rPr>
        <w:t>acción de inconstitucionalidad 47/2024</w:t>
      </w:r>
      <w:r w:rsidR="0082745D" w:rsidRPr="00F868F4">
        <w:rPr>
          <w:sz w:val="28"/>
          <w:szCs w:val="28"/>
        </w:rPr>
        <w:t xml:space="preserve">, por </w:t>
      </w:r>
      <w:r w:rsidR="00A43D02" w:rsidRPr="00F868F4">
        <w:rPr>
          <w:sz w:val="28"/>
          <w:szCs w:val="28"/>
        </w:rPr>
        <w:t xml:space="preserve">lo </w:t>
      </w:r>
      <w:r w:rsidR="0082745D" w:rsidRPr="00F868F4">
        <w:rPr>
          <w:sz w:val="28"/>
          <w:szCs w:val="28"/>
        </w:rPr>
        <w:t xml:space="preserve">que también se turnó a la Ministra </w:t>
      </w:r>
      <w:r w:rsidR="00D678CF" w:rsidRPr="00F868F4">
        <w:rPr>
          <w:sz w:val="28"/>
          <w:szCs w:val="28"/>
        </w:rPr>
        <w:t>instructora</w:t>
      </w:r>
      <w:r w:rsidR="0082745D" w:rsidRPr="00F868F4">
        <w:rPr>
          <w:sz w:val="28"/>
          <w:szCs w:val="28"/>
        </w:rPr>
        <w:t>.</w:t>
      </w:r>
      <w:r w:rsidR="00486452" w:rsidRPr="00F868F4">
        <w:rPr>
          <w:sz w:val="28"/>
          <w:szCs w:val="28"/>
        </w:rPr>
        <w:t xml:space="preserve"> </w:t>
      </w:r>
      <w:r w:rsidR="003276EB" w:rsidRPr="00F868F4">
        <w:rPr>
          <w:sz w:val="28"/>
          <w:szCs w:val="28"/>
        </w:rPr>
        <w:t xml:space="preserve"> </w:t>
      </w:r>
    </w:p>
    <w:p w14:paraId="3AA32016" w14:textId="3CAD9902" w:rsidR="00A263E2" w:rsidRPr="00F868F4" w:rsidRDefault="004F1E89" w:rsidP="0075718C">
      <w:pPr>
        <w:pStyle w:val="Prrafo"/>
        <w:numPr>
          <w:ilvl w:val="0"/>
          <w:numId w:val="1"/>
        </w:numPr>
        <w:ind w:left="0" w:hanging="567"/>
        <w:rPr>
          <w:b/>
          <w:bCs/>
          <w:sz w:val="28"/>
          <w:szCs w:val="28"/>
        </w:rPr>
      </w:pPr>
      <w:r w:rsidRPr="00F868F4">
        <w:rPr>
          <w:b/>
          <w:bCs/>
          <w:sz w:val="28"/>
          <w:szCs w:val="28"/>
        </w:rPr>
        <w:t>Admisión y trámite.</w:t>
      </w:r>
      <w:r w:rsidR="00FF504E" w:rsidRPr="00F868F4">
        <w:rPr>
          <w:sz w:val="28"/>
          <w:szCs w:val="28"/>
        </w:rPr>
        <w:t xml:space="preserve"> </w:t>
      </w:r>
      <w:r w:rsidR="00E83218" w:rsidRPr="00F868F4">
        <w:rPr>
          <w:sz w:val="28"/>
          <w:szCs w:val="28"/>
        </w:rPr>
        <w:t xml:space="preserve">El </w:t>
      </w:r>
      <w:r w:rsidR="00A263E2" w:rsidRPr="00F868F4">
        <w:rPr>
          <w:sz w:val="28"/>
          <w:szCs w:val="28"/>
        </w:rPr>
        <w:t>nuev</w:t>
      </w:r>
      <w:r w:rsidR="005A1914" w:rsidRPr="00F868F4">
        <w:rPr>
          <w:sz w:val="28"/>
          <w:szCs w:val="28"/>
        </w:rPr>
        <w:t>e</w:t>
      </w:r>
      <w:r w:rsidR="00A263E2" w:rsidRPr="00F868F4">
        <w:rPr>
          <w:sz w:val="28"/>
          <w:szCs w:val="28"/>
        </w:rPr>
        <w:t xml:space="preserve"> de abril de dos mil veinticuatro</w:t>
      </w:r>
      <w:r w:rsidR="004806F6" w:rsidRPr="00F868F4">
        <w:rPr>
          <w:sz w:val="28"/>
          <w:szCs w:val="28"/>
        </w:rPr>
        <w:t xml:space="preserve">, la Ministra instructora dictó un proveído por el cual </w:t>
      </w:r>
      <w:r w:rsidR="004806F6" w:rsidRPr="00F868F4">
        <w:rPr>
          <w:bCs/>
          <w:sz w:val="28"/>
          <w:szCs w:val="28"/>
        </w:rPr>
        <w:t xml:space="preserve">—entre otras cuestiones— </w:t>
      </w:r>
      <w:r w:rsidR="004806F6" w:rsidRPr="00F868F4">
        <w:rPr>
          <w:sz w:val="28"/>
          <w:szCs w:val="28"/>
        </w:rPr>
        <w:t xml:space="preserve">admitió a trámite </w:t>
      </w:r>
      <w:r w:rsidR="00174A13" w:rsidRPr="00F868F4">
        <w:rPr>
          <w:sz w:val="28"/>
          <w:szCs w:val="28"/>
        </w:rPr>
        <w:t>la acción de inconstitucionalidad</w:t>
      </w:r>
      <w:r w:rsidR="00E463E6" w:rsidRPr="00F868F4">
        <w:rPr>
          <w:rStyle w:val="Refdenotaalpie"/>
          <w:sz w:val="28"/>
          <w:szCs w:val="28"/>
        </w:rPr>
        <w:footnoteReference w:id="5"/>
      </w:r>
      <w:r w:rsidR="0073236F" w:rsidRPr="00F868F4">
        <w:rPr>
          <w:sz w:val="28"/>
          <w:szCs w:val="28"/>
        </w:rPr>
        <w:t xml:space="preserve">; </w:t>
      </w:r>
      <w:r w:rsidR="004C177E" w:rsidRPr="00F868F4">
        <w:rPr>
          <w:sz w:val="28"/>
          <w:szCs w:val="28"/>
        </w:rPr>
        <w:t>solicitó</w:t>
      </w:r>
      <w:r w:rsidR="0073236F" w:rsidRPr="00F868F4">
        <w:rPr>
          <w:sz w:val="28"/>
          <w:szCs w:val="28"/>
        </w:rPr>
        <w:t xml:space="preserve"> a los Poderes Legislativo y Ejecutivo del estado de Oaxaca</w:t>
      </w:r>
      <w:r w:rsidR="004C177E" w:rsidRPr="00F868F4">
        <w:rPr>
          <w:sz w:val="28"/>
          <w:szCs w:val="28"/>
        </w:rPr>
        <w:t xml:space="preserve"> </w:t>
      </w:r>
      <w:r w:rsidR="0073236F" w:rsidRPr="00F868F4">
        <w:rPr>
          <w:sz w:val="28"/>
          <w:szCs w:val="28"/>
        </w:rPr>
        <w:t xml:space="preserve">que rindieran sus respectivos informes; </w:t>
      </w:r>
      <w:r w:rsidR="002E53AC" w:rsidRPr="00F868F4">
        <w:rPr>
          <w:sz w:val="28"/>
          <w:szCs w:val="28"/>
        </w:rPr>
        <w:t xml:space="preserve">y dio vista a la </w:t>
      </w:r>
      <w:r w:rsidR="00A536B6" w:rsidRPr="00F868F4">
        <w:rPr>
          <w:sz w:val="28"/>
          <w:szCs w:val="28"/>
        </w:rPr>
        <w:t xml:space="preserve">Fiscalía General de la República y a la Consejería Jurídica del Ejecutivo Federal, para que manifestaran lo que a su representación y esfera competencial conviniera. </w:t>
      </w:r>
      <w:r w:rsidR="001E3455" w:rsidRPr="00F868F4">
        <w:rPr>
          <w:sz w:val="28"/>
          <w:szCs w:val="28"/>
        </w:rPr>
        <w:t xml:space="preserve">De igual manera, solicitó a la Presidenta de la Sala Superior del Tribunal Electoral del Poder Judicial de la Federación </w:t>
      </w:r>
      <w:r w:rsidR="00057802" w:rsidRPr="00F868F4">
        <w:rPr>
          <w:sz w:val="28"/>
          <w:szCs w:val="28"/>
        </w:rPr>
        <w:t xml:space="preserve">que expresara su opinión respecto al asunto y requirió a la </w:t>
      </w:r>
      <w:r w:rsidR="005451F1" w:rsidRPr="00F868F4">
        <w:rPr>
          <w:sz w:val="28"/>
          <w:szCs w:val="28"/>
        </w:rPr>
        <w:t xml:space="preserve">Consejera Presidenta del Instituto Nacional Electoral para que remitiera una copia certificada de los estatutos vigentes del PAN, así </w:t>
      </w:r>
      <w:r w:rsidR="005451F1" w:rsidRPr="00F868F4">
        <w:rPr>
          <w:sz w:val="28"/>
          <w:szCs w:val="28"/>
        </w:rPr>
        <w:lastRenderedPageBreak/>
        <w:t>como la certificación de su registro vigente y</w:t>
      </w:r>
      <w:r w:rsidR="00693B3D" w:rsidRPr="00F868F4">
        <w:rPr>
          <w:sz w:val="28"/>
          <w:szCs w:val="28"/>
        </w:rPr>
        <w:t xml:space="preserve"> la precisión sobre su actual representante e integrantes de su órgano de dirección nacional.</w:t>
      </w:r>
    </w:p>
    <w:p w14:paraId="3063AD2B" w14:textId="36743644" w:rsidR="00AA64DE" w:rsidRPr="00F868F4" w:rsidRDefault="00AA64DE" w:rsidP="0075718C">
      <w:pPr>
        <w:pStyle w:val="Prrafo"/>
        <w:numPr>
          <w:ilvl w:val="0"/>
          <w:numId w:val="1"/>
        </w:numPr>
        <w:ind w:left="0" w:hanging="567"/>
        <w:rPr>
          <w:b/>
          <w:bCs/>
          <w:sz w:val="28"/>
          <w:szCs w:val="28"/>
        </w:rPr>
      </w:pPr>
      <w:r w:rsidRPr="00F868F4">
        <w:rPr>
          <w:sz w:val="28"/>
          <w:szCs w:val="28"/>
        </w:rPr>
        <w:t xml:space="preserve">En relación con la acción de inconstitucionalidad 62/2024, </w:t>
      </w:r>
      <w:r w:rsidR="00A411A3" w:rsidRPr="00F868F4">
        <w:rPr>
          <w:sz w:val="28"/>
          <w:szCs w:val="28"/>
        </w:rPr>
        <w:t xml:space="preserve">le requirió al partido promovente que remitiera copia certificada de la documental con la que se acredite fehacientemente la personalidad de quien </w:t>
      </w:r>
      <w:r w:rsidR="003110F0" w:rsidRPr="00F868F4">
        <w:rPr>
          <w:sz w:val="28"/>
          <w:szCs w:val="28"/>
        </w:rPr>
        <w:t>presentó y suscribió el escrito de demanda</w:t>
      </w:r>
      <w:r w:rsidR="00FC6DEB" w:rsidRPr="00F868F4">
        <w:rPr>
          <w:sz w:val="28"/>
          <w:szCs w:val="28"/>
        </w:rPr>
        <w:t xml:space="preserve">, </w:t>
      </w:r>
      <w:r w:rsidR="00645487" w:rsidRPr="00F868F4">
        <w:rPr>
          <w:sz w:val="28"/>
          <w:szCs w:val="28"/>
        </w:rPr>
        <w:t>además de que reservó el pronunciamiento sobre su admisión o desechamiento.</w:t>
      </w:r>
    </w:p>
    <w:p w14:paraId="6DC3D1CE" w14:textId="7E722A34" w:rsidR="005A1914" w:rsidRPr="00F868F4" w:rsidRDefault="00163FDD" w:rsidP="00163FDD">
      <w:pPr>
        <w:pStyle w:val="Prrafo"/>
        <w:numPr>
          <w:ilvl w:val="0"/>
          <w:numId w:val="1"/>
        </w:numPr>
        <w:ind w:left="0" w:hanging="567"/>
        <w:rPr>
          <w:b/>
          <w:bCs/>
          <w:sz w:val="28"/>
          <w:szCs w:val="28"/>
        </w:rPr>
      </w:pPr>
      <w:r w:rsidRPr="00F868F4">
        <w:rPr>
          <w:b/>
          <w:bCs/>
          <w:sz w:val="28"/>
          <w:szCs w:val="28"/>
        </w:rPr>
        <w:t>Opinión de la Sala Superior del Tribunal Electoral del Poder Judicial de la Federación</w:t>
      </w:r>
      <w:r w:rsidRPr="00F868F4">
        <w:rPr>
          <w:sz w:val="28"/>
          <w:szCs w:val="28"/>
        </w:rPr>
        <w:t xml:space="preserve">. El </w:t>
      </w:r>
      <w:r w:rsidR="005A1914" w:rsidRPr="00F868F4">
        <w:rPr>
          <w:sz w:val="28"/>
          <w:szCs w:val="28"/>
        </w:rPr>
        <w:t xml:space="preserve">diecinueve de abril siguiente, </w:t>
      </w:r>
      <w:r w:rsidR="00365CF2" w:rsidRPr="00F868F4">
        <w:rPr>
          <w:sz w:val="28"/>
          <w:szCs w:val="28"/>
        </w:rPr>
        <w:t xml:space="preserve">se recibió la opinión de la Sala Superior respecto a la acción de inconstitucionalidad (SUP-OP-2/2024), </w:t>
      </w:r>
      <w:r w:rsidR="00513418" w:rsidRPr="00F868F4">
        <w:rPr>
          <w:sz w:val="28"/>
          <w:szCs w:val="28"/>
        </w:rPr>
        <w:t>en la que manifestó lo siguiente:</w:t>
      </w:r>
    </w:p>
    <w:p w14:paraId="547E3219" w14:textId="0FADFC33" w:rsidR="00365CF2" w:rsidRPr="00F868F4" w:rsidRDefault="00930FA4" w:rsidP="008A6B0F">
      <w:pPr>
        <w:pStyle w:val="Prrafo"/>
        <w:numPr>
          <w:ilvl w:val="0"/>
          <w:numId w:val="11"/>
        </w:numPr>
        <w:spacing w:line="276" w:lineRule="auto"/>
        <w:rPr>
          <w:sz w:val="28"/>
          <w:szCs w:val="28"/>
        </w:rPr>
      </w:pPr>
      <w:r w:rsidRPr="00F868F4">
        <w:rPr>
          <w:sz w:val="28"/>
          <w:szCs w:val="28"/>
        </w:rPr>
        <w:t xml:space="preserve">El concepto de invalidez </w:t>
      </w:r>
      <w:r w:rsidR="00771022" w:rsidRPr="00F868F4">
        <w:rPr>
          <w:sz w:val="28"/>
          <w:szCs w:val="28"/>
        </w:rPr>
        <w:t xml:space="preserve">relacionado con la supuesta omisión de llevar a cabo una consulta previa, libre e informada a los pueblos y comunidades indígenas </w:t>
      </w:r>
      <w:r w:rsidR="00771022" w:rsidRPr="00F868F4">
        <w:rPr>
          <w:b/>
          <w:bCs/>
          <w:sz w:val="28"/>
          <w:szCs w:val="28"/>
        </w:rPr>
        <w:t>no requiere de una opinión especializada en materia electoral</w:t>
      </w:r>
      <w:r w:rsidR="00771022" w:rsidRPr="00F868F4">
        <w:rPr>
          <w:sz w:val="28"/>
          <w:szCs w:val="28"/>
        </w:rPr>
        <w:t>, ya que se relaciona con el ámbito del derecho legislativo.</w:t>
      </w:r>
    </w:p>
    <w:p w14:paraId="400A8ACC" w14:textId="5D66FF95" w:rsidR="00771022" w:rsidRPr="00F868F4" w:rsidRDefault="00147BC5" w:rsidP="008A6B0F">
      <w:pPr>
        <w:pStyle w:val="Prrafo"/>
        <w:numPr>
          <w:ilvl w:val="0"/>
          <w:numId w:val="11"/>
        </w:numPr>
        <w:spacing w:line="276" w:lineRule="auto"/>
        <w:rPr>
          <w:sz w:val="28"/>
          <w:szCs w:val="28"/>
        </w:rPr>
      </w:pPr>
      <w:r w:rsidRPr="00F868F4">
        <w:rPr>
          <w:sz w:val="28"/>
          <w:szCs w:val="28"/>
        </w:rPr>
        <w:t>El señalamiento de un mandato de dos años para la futura elección a la gubernatura del estado de Oaxaca</w:t>
      </w:r>
      <w:r w:rsidR="005C3614" w:rsidRPr="00F868F4">
        <w:rPr>
          <w:sz w:val="28"/>
          <w:szCs w:val="28"/>
        </w:rPr>
        <w:t>,</w:t>
      </w:r>
      <w:r w:rsidRPr="00F868F4">
        <w:rPr>
          <w:sz w:val="28"/>
          <w:szCs w:val="28"/>
        </w:rPr>
        <w:t xml:space="preserve"> a realizarse en el año dos mil veintiocho</w:t>
      </w:r>
      <w:r w:rsidR="005C3614" w:rsidRPr="00F868F4">
        <w:rPr>
          <w:sz w:val="28"/>
          <w:szCs w:val="28"/>
        </w:rPr>
        <w:t>,</w:t>
      </w:r>
      <w:r w:rsidRPr="00F868F4">
        <w:rPr>
          <w:sz w:val="28"/>
          <w:szCs w:val="28"/>
        </w:rPr>
        <w:t xml:space="preserve"> </w:t>
      </w:r>
      <w:r w:rsidRPr="00F868F4">
        <w:rPr>
          <w:b/>
          <w:bCs/>
          <w:sz w:val="28"/>
          <w:szCs w:val="28"/>
        </w:rPr>
        <w:t>es constitucional</w:t>
      </w:r>
      <w:r w:rsidR="00D74079" w:rsidRPr="00F868F4">
        <w:rPr>
          <w:sz w:val="28"/>
          <w:szCs w:val="28"/>
        </w:rPr>
        <w:t xml:space="preserve">. Conforme a diversos precedentes de esta Suprema Corte, </w:t>
      </w:r>
      <w:r w:rsidR="00F81FDC" w:rsidRPr="00F868F4">
        <w:rPr>
          <w:b/>
          <w:bCs/>
          <w:sz w:val="28"/>
          <w:szCs w:val="28"/>
        </w:rPr>
        <w:t>no es inconstitucional</w:t>
      </w:r>
      <w:r w:rsidR="00F81FDC" w:rsidRPr="00F868F4">
        <w:rPr>
          <w:sz w:val="28"/>
          <w:szCs w:val="28"/>
        </w:rPr>
        <w:t xml:space="preserve"> en sí mismo que los estados varíen, excepcionalmente y por una sola ocasión, el periodo de duración del ejercicio de los cargos de </w:t>
      </w:r>
      <w:r w:rsidR="00C35AE0" w:rsidRPr="00F868F4">
        <w:rPr>
          <w:sz w:val="28"/>
          <w:szCs w:val="28"/>
        </w:rPr>
        <w:t>la gubernatura</w:t>
      </w:r>
      <w:r w:rsidR="00F81FDC" w:rsidRPr="00F868F4">
        <w:rPr>
          <w:sz w:val="28"/>
          <w:szCs w:val="28"/>
        </w:rPr>
        <w:t xml:space="preserve">, </w:t>
      </w:r>
      <w:r w:rsidR="00C35AE0" w:rsidRPr="00F868F4">
        <w:rPr>
          <w:sz w:val="28"/>
          <w:szCs w:val="28"/>
        </w:rPr>
        <w:t>integrantes de las legislaturas y ayuntamientos, con la finalidad de igualar sus procesos electorales con los comicios federales.</w:t>
      </w:r>
      <w:r w:rsidR="00351470" w:rsidRPr="00F868F4">
        <w:rPr>
          <w:sz w:val="28"/>
          <w:szCs w:val="28"/>
        </w:rPr>
        <w:t xml:space="preserve"> Esa cuestión se debe adoptar como una previsión a futuro</w:t>
      </w:r>
      <w:r w:rsidR="00741A1C" w:rsidRPr="00F868F4">
        <w:rPr>
          <w:sz w:val="28"/>
          <w:szCs w:val="28"/>
        </w:rPr>
        <w:t>.</w:t>
      </w:r>
    </w:p>
    <w:p w14:paraId="4946EE7C" w14:textId="77777777" w:rsidR="0036597C" w:rsidRPr="00F868F4" w:rsidRDefault="00EE5C45" w:rsidP="008A6B0F">
      <w:pPr>
        <w:pStyle w:val="Prrafo"/>
        <w:numPr>
          <w:ilvl w:val="0"/>
          <w:numId w:val="11"/>
        </w:numPr>
        <w:spacing w:line="276" w:lineRule="auto"/>
        <w:rPr>
          <w:sz w:val="28"/>
          <w:szCs w:val="28"/>
        </w:rPr>
      </w:pPr>
      <w:r w:rsidRPr="00F868F4">
        <w:rPr>
          <w:sz w:val="28"/>
          <w:szCs w:val="28"/>
        </w:rPr>
        <w:t xml:space="preserve">En cuanto a los señalamientos sobre que la reforma vulnera el principio de supremacía constitucional y otros principios constitucionales, son argumentos genéricos </w:t>
      </w:r>
      <w:r w:rsidR="00FB2ABE" w:rsidRPr="00F868F4">
        <w:rPr>
          <w:sz w:val="28"/>
          <w:szCs w:val="28"/>
        </w:rPr>
        <w:t>que hacen depender la supuesta violación a un tema de paridad que no está regulado en la norma cuya inconstitucionalidad se reclama.</w:t>
      </w:r>
    </w:p>
    <w:p w14:paraId="7DF1A4C7" w14:textId="1E576A32" w:rsidR="00ED5D12" w:rsidRPr="00F868F4" w:rsidRDefault="0036597C" w:rsidP="0036597C">
      <w:pPr>
        <w:pStyle w:val="Prrafo"/>
        <w:spacing w:line="276" w:lineRule="auto"/>
        <w:ind w:left="720"/>
        <w:rPr>
          <w:sz w:val="28"/>
          <w:szCs w:val="28"/>
        </w:rPr>
      </w:pPr>
      <w:r w:rsidRPr="00F868F4">
        <w:rPr>
          <w:b/>
          <w:bCs/>
          <w:sz w:val="28"/>
          <w:szCs w:val="28"/>
        </w:rPr>
        <w:lastRenderedPageBreak/>
        <w:t xml:space="preserve">La supuesta inconstitucionalidad </w:t>
      </w:r>
      <w:r w:rsidR="00EF59FB" w:rsidRPr="00F868F4">
        <w:rPr>
          <w:b/>
          <w:bCs/>
          <w:sz w:val="28"/>
          <w:szCs w:val="28"/>
        </w:rPr>
        <w:t>se</w:t>
      </w:r>
      <w:r w:rsidRPr="00F868F4">
        <w:rPr>
          <w:b/>
          <w:bCs/>
          <w:sz w:val="28"/>
          <w:szCs w:val="28"/>
        </w:rPr>
        <w:t xml:space="preserve"> </w:t>
      </w:r>
      <w:r w:rsidR="00EF59FB" w:rsidRPr="00F868F4">
        <w:rPr>
          <w:b/>
          <w:bCs/>
          <w:sz w:val="28"/>
          <w:szCs w:val="28"/>
        </w:rPr>
        <w:t>hace</w:t>
      </w:r>
      <w:r w:rsidRPr="00F868F4">
        <w:rPr>
          <w:b/>
          <w:bCs/>
          <w:sz w:val="28"/>
          <w:szCs w:val="28"/>
        </w:rPr>
        <w:t xml:space="preserve"> depender de una norma local distinta a la que se impugna</w:t>
      </w:r>
      <w:r w:rsidRPr="00F868F4">
        <w:rPr>
          <w:sz w:val="28"/>
          <w:szCs w:val="28"/>
        </w:rPr>
        <w:t>, la cual establece el deber de alternancia de género en el cargo de la gubernatura. Asimismo, subordinan la no conformidad de las normas a circunstancias inciertas o contingentes, como lo es el género de la persona que se postule en la siguiente elección de la gubernatura.</w:t>
      </w:r>
      <w:r w:rsidR="00831286" w:rsidRPr="00F868F4">
        <w:rPr>
          <w:sz w:val="28"/>
          <w:szCs w:val="28"/>
        </w:rPr>
        <w:t xml:space="preserve"> Es inviable valorar de manera abstracta la conformidad de la norma con la Constitución.</w:t>
      </w:r>
    </w:p>
    <w:p w14:paraId="6A6C3A09" w14:textId="22930B89" w:rsidR="00D2276C" w:rsidRPr="00F868F4" w:rsidRDefault="00702D36" w:rsidP="00D0537A">
      <w:pPr>
        <w:pStyle w:val="Prrafo"/>
        <w:numPr>
          <w:ilvl w:val="0"/>
          <w:numId w:val="1"/>
        </w:numPr>
        <w:ind w:left="0" w:hanging="567"/>
        <w:rPr>
          <w:sz w:val="28"/>
          <w:szCs w:val="28"/>
        </w:rPr>
      </w:pPr>
      <w:r w:rsidRPr="00F868F4">
        <w:rPr>
          <w:b/>
          <w:sz w:val="28"/>
          <w:szCs w:val="28"/>
        </w:rPr>
        <w:t xml:space="preserve">Informe del </w:t>
      </w:r>
      <w:r w:rsidR="00C749C0" w:rsidRPr="00F868F4">
        <w:rPr>
          <w:b/>
          <w:sz w:val="28"/>
          <w:szCs w:val="28"/>
        </w:rPr>
        <w:t>Congreso del Estado de Oaxaca</w:t>
      </w:r>
      <w:r w:rsidRPr="00F868F4">
        <w:rPr>
          <w:b/>
          <w:sz w:val="28"/>
          <w:szCs w:val="28"/>
        </w:rPr>
        <w:t>.</w:t>
      </w:r>
      <w:r w:rsidR="00380BA0" w:rsidRPr="00F868F4">
        <w:rPr>
          <w:bCs/>
          <w:sz w:val="28"/>
          <w:szCs w:val="28"/>
        </w:rPr>
        <w:t xml:space="preserve"> </w:t>
      </w:r>
      <w:r w:rsidR="00D2276C" w:rsidRPr="00F868F4">
        <w:rPr>
          <w:bCs/>
          <w:sz w:val="28"/>
          <w:szCs w:val="28"/>
        </w:rPr>
        <w:t xml:space="preserve">El </w:t>
      </w:r>
      <w:r w:rsidR="00D258B5" w:rsidRPr="00F868F4">
        <w:rPr>
          <w:bCs/>
          <w:sz w:val="28"/>
          <w:szCs w:val="28"/>
        </w:rPr>
        <w:t>veintidós de abril siguiente,</w:t>
      </w:r>
      <w:r w:rsidR="00ED4F8E" w:rsidRPr="00F868F4">
        <w:rPr>
          <w:bCs/>
          <w:sz w:val="28"/>
          <w:szCs w:val="28"/>
        </w:rPr>
        <w:t xml:space="preserve"> el Diputado Sergio López Sánchez, en su carácter de Presidente de la Junta de Coordinación Política de la Sexagésima Quinta Legislatura del Congreso local, </w:t>
      </w:r>
      <w:r w:rsidR="003F4F3E" w:rsidRPr="00F868F4">
        <w:rPr>
          <w:bCs/>
          <w:sz w:val="28"/>
          <w:szCs w:val="28"/>
        </w:rPr>
        <w:t>formuló el informe requerido</w:t>
      </w:r>
      <w:r w:rsidR="00D0537A" w:rsidRPr="00F868F4">
        <w:rPr>
          <w:bCs/>
          <w:sz w:val="28"/>
          <w:szCs w:val="28"/>
        </w:rPr>
        <w:t>, conforme a los puntos que se destacan a continuación:</w:t>
      </w:r>
    </w:p>
    <w:p w14:paraId="46E33D36" w14:textId="669AC508" w:rsidR="0083495D" w:rsidRPr="00F868F4" w:rsidRDefault="00D0537A" w:rsidP="008A6B0F">
      <w:pPr>
        <w:pStyle w:val="Prrafo"/>
        <w:numPr>
          <w:ilvl w:val="0"/>
          <w:numId w:val="12"/>
        </w:numPr>
        <w:spacing w:line="276" w:lineRule="auto"/>
        <w:rPr>
          <w:sz w:val="28"/>
          <w:szCs w:val="28"/>
        </w:rPr>
      </w:pPr>
      <w:r w:rsidRPr="00F868F4">
        <w:rPr>
          <w:sz w:val="28"/>
          <w:szCs w:val="28"/>
        </w:rPr>
        <w:t>El</w:t>
      </w:r>
      <w:r w:rsidR="00391829" w:rsidRPr="00F868F4">
        <w:rPr>
          <w:sz w:val="28"/>
          <w:szCs w:val="28"/>
        </w:rPr>
        <w:t xml:space="preserve"> objetivo de la reforma fue establecer la homologación de la elección de la gubernatura con las elecciones federales</w:t>
      </w:r>
      <w:r w:rsidR="0083495D" w:rsidRPr="00F868F4">
        <w:rPr>
          <w:sz w:val="28"/>
          <w:szCs w:val="28"/>
        </w:rPr>
        <w:t>, para cumplir con el mandato establecido en e</w:t>
      </w:r>
      <w:r w:rsidR="008A6B0F" w:rsidRPr="00F868F4">
        <w:rPr>
          <w:sz w:val="28"/>
          <w:szCs w:val="28"/>
        </w:rPr>
        <w:t>l artículo 116, fracción IV, inciso a), de la Constitución</w:t>
      </w:r>
      <w:r w:rsidR="00C44C2C" w:rsidRPr="00F868F4">
        <w:rPr>
          <w:sz w:val="28"/>
          <w:szCs w:val="28"/>
        </w:rPr>
        <w:t>, pues</w:t>
      </w:r>
      <w:r w:rsidR="00F627F8" w:rsidRPr="00F868F4">
        <w:rPr>
          <w:sz w:val="28"/>
          <w:szCs w:val="28"/>
        </w:rPr>
        <w:t xml:space="preserve"> en</w:t>
      </w:r>
      <w:r w:rsidR="00C44C2C" w:rsidRPr="00F868F4">
        <w:rPr>
          <w:sz w:val="28"/>
          <w:szCs w:val="28"/>
        </w:rPr>
        <w:t xml:space="preserve"> Oaxaca</w:t>
      </w:r>
      <w:r w:rsidR="00F627F8" w:rsidRPr="00F868F4">
        <w:rPr>
          <w:sz w:val="28"/>
          <w:szCs w:val="28"/>
        </w:rPr>
        <w:t xml:space="preserve"> esa homologación había sido parcial. </w:t>
      </w:r>
      <w:r w:rsidR="007702CC" w:rsidRPr="00F868F4">
        <w:rPr>
          <w:sz w:val="28"/>
          <w:szCs w:val="28"/>
        </w:rPr>
        <w:t>Para</w:t>
      </w:r>
      <w:r w:rsidR="00FF7250" w:rsidRPr="00F868F4">
        <w:rPr>
          <w:sz w:val="28"/>
          <w:szCs w:val="28"/>
        </w:rPr>
        <w:t xml:space="preserve"> acatar dicho mandato constitucional en su totalidad, </w:t>
      </w:r>
      <w:r w:rsidR="007702CC" w:rsidRPr="00F868F4">
        <w:rPr>
          <w:sz w:val="28"/>
          <w:szCs w:val="28"/>
        </w:rPr>
        <w:t>el objetivo del Decreto núm. 1624 fue ajustar el periodo de duración del encargo de la gubernatura para que exista concurrencia con los comicios federales.</w:t>
      </w:r>
    </w:p>
    <w:p w14:paraId="5702872D" w14:textId="4845B75C" w:rsidR="00860F38" w:rsidRPr="00F868F4" w:rsidRDefault="00D32085">
      <w:pPr>
        <w:pStyle w:val="Prrafo"/>
        <w:numPr>
          <w:ilvl w:val="0"/>
          <w:numId w:val="12"/>
        </w:numPr>
        <w:spacing w:line="276" w:lineRule="auto"/>
        <w:rPr>
          <w:sz w:val="28"/>
          <w:szCs w:val="28"/>
        </w:rPr>
      </w:pPr>
      <w:r w:rsidRPr="00F868F4">
        <w:rPr>
          <w:sz w:val="28"/>
          <w:szCs w:val="28"/>
        </w:rPr>
        <w:t xml:space="preserve">La reforma no se refiere a la materia de la paridad de género, sino a la homologación de las elecciones del ámbito </w:t>
      </w:r>
      <w:r w:rsidR="00835EDD" w:rsidRPr="00F868F4">
        <w:rPr>
          <w:sz w:val="28"/>
          <w:szCs w:val="28"/>
        </w:rPr>
        <w:t>local con las federales</w:t>
      </w:r>
      <w:r w:rsidR="00860F38" w:rsidRPr="00F868F4">
        <w:rPr>
          <w:sz w:val="28"/>
          <w:szCs w:val="28"/>
        </w:rPr>
        <w:t>. No se trata de una reforma que excluya la participación de las mujeres por razón de género, sino contempla la participación de hombres y mujeres para el cargo de la gubernatura.</w:t>
      </w:r>
      <w:r w:rsidR="00887A0A" w:rsidRPr="00F868F4">
        <w:rPr>
          <w:sz w:val="28"/>
          <w:szCs w:val="28"/>
        </w:rPr>
        <w:t xml:space="preserve"> En la siguiente elección podría ser electa una mujer o un hombre, por lo que con la reforma subsisten los principios de seguridad jurídica, certeza y legalidad.</w:t>
      </w:r>
    </w:p>
    <w:p w14:paraId="2926B27F" w14:textId="5057EAA5" w:rsidR="00887A0A" w:rsidRPr="00F868F4" w:rsidRDefault="0075714A">
      <w:pPr>
        <w:pStyle w:val="Prrafo"/>
        <w:numPr>
          <w:ilvl w:val="0"/>
          <w:numId w:val="12"/>
        </w:numPr>
        <w:spacing w:line="276" w:lineRule="auto"/>
        <w:rPr>
          <w:sz w:val="28"/>
          <w:szCs w:val="28"/>
        </w:rPr>
      </w:pPr>
      <w:r w:rsidRPr="00F868F4">
        <w:rPr>
          <w:sz w:val="28"/>
          <w:szCs w:val="28"/>
        </w:rPr>
        <w:t xml:space="preserve">La observancia del </w:t>
      </w:r>
      <w:r w:rsidR="00022681" w:rsidRPr="00F868F4">
        <w:rPr>
          <w:sz w:val="28"/>
          <w:szCs w:val="28"/>
        </w:rPr>
        <w:t>principio</w:t>
      </w:r>
      <w:r w:rsidRPr="00F868F4">
        <w:rPr>
          <w:sz w:val="28"/>
          <w:szCs w:val="28"/>
        </w:rPr>
        <w:t xml:space="preserve"> de paridad de género fue </w:t>
      </w:r>
      <w:r w:rsidR="007172D0" w:rsidRPr="00F868F4">
        <w:rPr>
          <w:sz w:val="28"/>
          <w:szCs w:val="28"/>
        </w:rPr>
        <w:t>asumida</w:t>
      </w:r>
      <w:r w:rsidRPr="00F868F4">
        <w:rPr>
          <w:sz w:val="28"/>
          <w:szCs w:val="28"/>
        </w:rPr>
        <w:t xml:space="preserve"> por el Consejo General del Instituto Nacional Electoral, </w:t>
      </w:r>
      <w:r w:rsidR="00022681" w:rsidRPr="00F868F4">
        <w:rPr>
          <w:sz w:val="28"/>
          <w:szCs w:val="28"/>
        </w:rPr>
        <w:t>por lo que la reforma no lo vulnera.</w:t>
      </w:r>
      <w:r w:rsidR="002E4230" w:rsidRPr="00F868F4">
        <w:rPr>
          <w:sz w:val="28"/>
          <w:szCs w:val="28"/>
        </w:rPr>
        <w:t xml:space="preserve"> El mandato de paridad de género es obligatorio para los partidos políticos y es posible aplicar de forma </w:t>
      </w:r>
      <w:r w:rsidR="002E4230" w:rsidRPr="00F868F4">
        <w:rPr>
          <w:sz w:val="28"/>
          <w:szCs w:val="28"/>
        </w:rPr>
        <w:lastRenderedPageBreak/>
        <w:t xml:space="preserve">directa la Constitución, como un mandato de paridad horizontal, </w:t>
      </w:r>
      <w:r w:rsidR="001E6D2E" w:rsidRPr="00F868F4">
        <w:rPr>
          <w:sz w:val="28"/>
          <w:szCs w:val="28"/>
        </w:rPr>
        <w:t xml:space="preserve">por lo que </w:t>
      </w:r>
      <w:r w:rsidR="00A76225" w:rsidRPr="00F868F4">
        <w:rPr>
          <w:sz w:val="28"/>
          <w:szCs w:val="28"/>
        </w:rPr>
        <w:t>la falta de regulación no es obstáculo para la garantía del derecho a ser votada en condiciones de paridad.</w:t>
      </w:r>
    </w:p>
    <w:p w14:paraId="5EBF3BFA" w14:textId="452F0A5E" w:rsidR="00EF59FB" w:rsidRPr="00F868F4" w:rsidRDefault="004F4373">
      <w:pPr>
        <w:pStyle w:val="Prrafo"/>
        <w:numPr>
          <w:ilvl w:val="0"/>
          <w:numId w:val="12"/>
        </w:numPr>
        <w:spacing w:line="276" w:lineRule="auto"/>
        <w:rPr>
          <w:sz w:val="28"/>
          <w:szCs w:val="28"/>
        </w:rPr>
      </w:pPr>
      <w:r w:rsidRPr="00F868F4">
        <w:rPr>
          <w:sz w:val="28"/>
          <w:szCs w:val="28"/>
        </w:rPr>
        <w:t xml:space="preserve">Acorde con el artículo 116, segundo párrafo, de la Constitución Política del país, las entidades federativas gozan de una amplia libertad configurativa para organizar sus poderes locales y sus elecciones, en los términos de sus leyes. </w:t>
      </w:r>
      <w:r w:rsidR="000B50E9" w:rsidRPr="00F868F4">
        <w:rPr>
          <w:sz w:val="28"/>
          <w:szCs w:val="28"/>
        </w:rPr>
        <w:t xml:space="preserve">La fracción I de dicho precepto establece que </w:t>
      </w:r>
      <w:r w:rsidR="00BB081E" w:rsidRPr="00F868F4">
        <w:rPr>
          <w:sz w:val="28"/>
          <w:szCs w:val="28"/>
        </w:rPr>
        <w:t>“[l]os gobernadores de los Estados no podrán durar en su encargo más de seis años […]”.</w:t>
      </w:r>
    </w:p>
    <w:p w14:paraId="72F4E90A" w14:textId="1921EAF6" w:rsidR="00BB081E" w:rsidRPr="00F868F4" w:rsidRDefault="00BB081E" w:rsidP="00BB081E">
      <w:pPr>
        <w:pStyle w:val="Prrafo"/>
        <w:spacing w:line="276" w:lineRule="auto"/>
        <w:ind w:left="720"/>
        <w:rPr>
          <w:sz w:val="28"/>
          <w:szCs w:val="28"/>
        </w:rPr>
      </w:pPr>
      <w:r w:rsidRPr="00F868F4">
        <w:rPr>
          <w:sz w:val="28"/>
          <w:szCs w:val="28"/>
        </w:rPr>
        <w:t>No se contraviene esa disposición porque el artículo 69 de la Constitución local establece que la gubernatura durará seis años</w:t>
      </w:r>
      <w:r w:rsidR="00A14226" w:rsidRPr="00F868F4">
        <w:rPr>
          <w:sz w:val="28"/>
          <w:szCs w:val="28"/>
        </w:rPr>
        <w:t>. Asimismo, interpretado en sentido contrario, la fracción I del artículo 116 constitucional otorga la posibilidad a las legislaturas locales de establecer, por única ocasión, un periodo menor al de seis años, como es el caso de la reforma efectuada.</w:t>
      </w:r>
    </w:p>
    <w:p w14:paraId="097D46FE" w14:textId="395EB73C" w:rsidR="00D0537A" w:rsidRPr="00F868F4" w:rsidRDefault="00C938C3" w:rsidP="008A6B0F">
      <w:pPr>
        <w:pStyle w:val="Prrafo"/>
        <w:numPr>
          <w:ilvl w:val="0"/>
          <w:numId w:val="12"/>
        </w:numPr>
        <w:spacing w:line="276" w:lineRule="auto"/>
        <w:rPr>
          <w:sz w:val="28"/>
          <w:szCs w:val="28"/>
        </w:rPr>
      </w:pPr>
      <w:r w:rsidRPr="00F868F4">
        <w:rPr>
          <w:sz w:val="28"/>
          <w:szCs w:val="28"/>
        </w:rPr>
        <w:t xml:space="preserve">El Decreto núm. 1624 es acorde a los precedentes de la Suprema Corte resueltos en las acciones de inconstitucionalidad 13/2015 y 77/2023 y sus acumuladas, porque: </w:t>
      </w:r>
      <w:r w:rsidRPr="00F868F4">
        <w:rPr>
          <w:b/>
          <w:bCs/>
          <w:sz w:val="28"/>
          <w:szCs w:val="28"/>
        </w:rPr>
        <w:t>i)</w:t>
      </w:r>
      <w:r w:rsidRPr="00F868F4">
        <w:rPr>
          <w:sz w:val="28"/>
          <w:szCs w:val="28"/>
        </w:rPr>
        <w:t xml:space="preserve"> </w:t>
      </w:r>
      <w:r w:rsidR="0098188C" w:rsidRPr="00F868F4">
        <w:rPr>
          <w:sz w:val="28"/>
          <w:szCs w:val="28"/>
        </w:rPr>
        <w:t xml:space="preserve">su artículo segundo transitorio estableció que el decreto cobrará vigencia el primero de enero de dos mil veinticinco; </w:t>
      </w:r>
      <w:r w:rsidR="0098188C" w:rsidRPr="00F868F4">
        <w:rPr>
          <w:b/>
          <w:bCs/>
          <w:sz w:val="28"/>
          <w:szCs w:val="28"/>
        </w:rPr>
        <w:t>ii)</w:t>
      </w:r>
      <w:r w:rsidR="0098188C" w:rsidRPr="00F868F4">
        <w:rPr>
          <w:sz w:val="28"/>
          <w:szCs w:val="28"/>
        </w:rPr>
        <w:t xml:space="preserve"> entonces, la reforma no será aplicada a la persona titular del Poder Ejecutiva que esté en </w:t>
      </w:r>
      <w:r w:rsidR="0011493D" w:rsidRPr="00F868F4">
        <w:rPr>
          <w:sz w:val="28"/>
          <w:szCs w:val="28"/>
        </w:rPr>
        <w:t>funciones</w:t>
      </w:r>
      <w:r w:rsidR="0098188C" w:rsidRPr="00F868F4">
        <w:rPr>
          <w:sz w:val="28"/>
          <w:szCs w:val="28"/>
        </w:rPr>
        <w:t xml:space="preserve"> a la entrada en vigor del Decreto, ni rebasa el límite de seis años establecido en la norma constitucional, y </w:t>
      </w:r>
      <w:r w:rsidR="0098188C" w:rsidRPr="00F868F4">
        <w:rPr>
          <w:b/>
          <w:bCs/>
          <w:sz w:val="28"/>
          <w:szCs w:val="28"/>
        </w:rPr>
        <w:t>iii)</w:t>
      </w:r>
      <w:r w:rsidR="0098188C" w:rsidRPr="00F868F4">
        <w:rPr>
          <w:sz w:val="28"/>
          <w:szCs w:val="28"/>
        </w:rPr>
        <w:t xml:space="preserve"> </w:t>
      </w:r>
      <w:r w:rsidR="005E1453" w:rsidRPr="00F868F4">
        <w:rPr>
          <w:sz w:val="28"/>
          <w:szCs w:val="28"/>
        </w:rPr>
        <w:t>además de que será por única ocasión y el electorado estará plenamente informado del periodo por el que se elegirá a la persona que ocupe el cargo de Gubernatura.</w:t>
      </w:r>
    </w:p>
    <w:p w14:paraId="08D36E1F" w14:textId="77777777" w:rsidR="007F2A20" w:rsidRPr="00F868F4" w:rsidRDefault="005E1453" w:rsidP="008A6B0F">
      <w:pPr>
        <w:pStyle w:val="Prrafo"/>
        <w:numPr>
          <w:ilvl w:val="0"/>
          <w:numId w:val="12"/>
        </w:numPr>
        <w:spacing w:line="276" w:lineRule="auto"/>
        <w:rPr>
          <w:sz w:val="28"/>
          <w:szCs w:val="28"/>
        </w:rPr>
      </w:pPr>
      <w:r w:rsidRPr="00F868F4">
        <w:rPr>
          <w:b/>
          <w:bCs/>
          <w:sz w:val="28"/>
          <w:szCs w:val="28"/>
        </w:rPr>
        <w:t>Tampoco se vulnera el derecho a la consulta previa, libre e informada de los pueblos indígenas</w:t>
      </w:r>
      <w:r w:rsidRPr="00F868F4">
        <w:rPr>
          <w:sz w:val="28"/>
          <w:szCs w:val="28"/>
        </w:rPr>
        <w:t xml:space="preserve">. </w:t>
      </w:r>
      <w:r w:rsidR="005557AD" w:rsidRPr="00F868F4">
        <w:rPr>
          <w:sz w:val="28"/>
          <w:szCs w:val="28"/>
        </w:rPr>
        <w:t xml:space="preserve">El decreto impugnado regula exclusivamente sobre la concurrencia de la elección de gubernatura con los comicios federales y que, por única ocasión, la persona titular del Poder Ejecutiva electa en dos mil veintiocho tendrá una duración de dos años. No debía ser motivo de consulta indígena, pues no impacta de manera directa ni diferenciada en los derechos de las comunidades indígenas de Oaxaca, tal como se </w:t>
      </w:r>
      <w:r w:rsidR="005557AD" w:rsidRPr="00F868F4">
        <w:rPr>
          <w:sz w:val="28"/>
          <w:szCs w:val="28"/>
        </w:rPr>
        <w:lastRenderedPageBreak/>
        <w:t xml:space="preserve">resolvió </w:t>
      </w:r>
      <w:r w:rsidR="007F2A20" w:rsidRPr="00F868F4">
        <w:rPr>
          <w:sz w:val="28"/>
          <w:szCs w:val="28"/>
        </w:rPr>
        <w:t xml:space="preserve">en la </w:t>
      </w:r>
      <w:r w:rsidR="007F2A20" w:rsidRPr="00F868F4">
        <w:rPr>
          <w:b/>
          <w:bCs/>
          <w:sz w:val="28"/>
          <w:szCs w:val="28"/>
        </w:rPr>
        <w:t>acción de inconstitucionalidad 77/2023</w:t>
      </w:r>
      <w:r w:rsidR="007F2A20" w:rsidRPr="00F868F4">
        <w:rPr>
          <w:sz w:val="28"/>
          <w:szCs w:val="28"/>
        </w:rPr>
        <w:t xml:space="preserve"> </w:t>
      </w:r>
      <w:r w:rsidR="007F2A20" w:rsidRPr="00F868F4">
        <w:rPr>
          <w:b/>
          <w:bCs/>
          <w:sz w:val="28"/>
          <w:szCs w:val="28"/>
        </w:rPr>
        <w:t>y sus acumuladas</w:t>
      </w:r>
      <w:r w:rsidR="007F2A20" w:rsidRPr="00F868F4">
        <w:rPr>
          <w:sz w:val="28"/>
          <w:szCs w:val="28"/>
        </w:rPr>
        <w:t>.</w:t>
      </w:r>
    </w:p>
    <w:p w14:paraId="3AD2A405" w14:textId="6E50C4EC" w:rsidR="005E1453" w:rsidRPr="00F868F4" w:rsidRDefault="00C13A40" w:rsidP="008A6B0F">
      <w:pPr>
        <w:pStyle w:val="Prrafo"/>
        <w:numPr>
          <w:ilvl w:val="0"/>
          <w:numId w:val="12"/>
        </w:numPr>
        <w:spacing w:line="276" w:lineRule="auto"/>
        <w:rPr>
          <w:sz w:val="28"/>
          <w:szCs w:val="28"/>
        </w:rPr>
      </w:pPr>
      <w:r w:rsidRPr="00F868F4">
        <w:rPr>
          <w:b/>
          <w:bCs/>
          <w:sz w:val="28"/>
          <w:szCs w:val="28"/>
        </w:rPr>
        <w:t>La reforma impugnada no es de materia electoral</w:t>
      </w:r>
      <w:r w:rsidRPr="00F868F4">
        <w:rPr>
          <w:sz w:val="28"/>
          <w:szCs w:val="28"/>
        </w:rPr>
        <w:t>.</w:t>
      </w:r>
      <w:r w:rsidR="005557AD" w:rsidRPr="00F868F4">
        <w:rPr>
          <w:sz w:val="28"/>
          <w:szCs w:val="28"/>
        </w:rPr>
        <w:t xml:space="preserve"> </w:t>
      </w:r>
      <w:r w:rsidR="00455BAD" w:rsidRPr="00F868F4">
        <w:rPr>
          <w:sz w:val="28"/>
          <w:szCs w:val="28"/>
        </w:rPr>
        <w:t>La definición de la duración de un cargo de elección popular es una precondición para que pueda ejercerse el derecho a votar y ser votado</w:t>
      </w:r>
      <w:r w:rsidR="00C16645" w:rsidRPr="00F868F4">
        <w:rPr>
          <w:sz w:val="28"/>
          <w:szCs w:val="28"/>
        </w:rPr>
        <w:t>; además de que la duración del cargo de la gubernatura pertenece al ámbito de la libertad con</w:t>
      </w:r>
      <w:r w:rsidR="007661D4" w:rsidRPr="00F868F4">
        <w:rPr>
          <w:sz w:val="28"/>
          <w:szCs w:val="28"/>
        </w:rPr>
        <w:t>f</w:t>
      </w:r>
      <w:r w:rsidR="00C16645" w:rsidRPr="00F868F4">
        <w:rPr>
          <w:sz w:val="28"/>
          <w:szCs w:val="28"/>
        </w:rPr>
        <w:t>igurativa de las entidades federativas</w:t>
      </w:r>
      <w:r w:rsidR="00701194" w:rsidRPr="00F868F4">
        <w:rPr>
          <w:sz w:val="28"/>
          <w:szCs w:val="28"/>
        </w:rPr>
        <w:t>. Las supuestas violaciones al procedimiento legislativo del que derivó el decreto cuya inconstitucionalidad se reclama no son de índole electoral.</w:t>
      </w:r>
    </w:p>
    <w:p w14:paraId="4AD75278" w14:textId="3BCDABE0" w:rsidR="007029BE" w:rsidRPr="00F868F4" w:rsidRDefault="007029BE" w:rsidP="00C27AAE">
      <w:pPr>
        <w:pStyle w:val="Prrafo"/>
        <w:numPr>
          <w:ilvl w:val="0"/>
          <w:numId w:val="1"/>
        </w:numPr>
        <w:ind w:left="0" w:hanging="567"/>
        <w:rPr>
          <w:b/>
          <w:bCs/>
          <w:sz w:val="28"/>
          <w:szCs w:val="28"/>
        </w:rPr>
      </w:pPr>
      <w:bookmarkStart w:id="1" w:name="_Hlk105607634"/>
      <w:r w:rsidRPr="00F868F4">
        <w:rPr>
          <w:b/>
          <w:bCs/>
          <w:sz w:val="28"/>
          <w:szCs w:val="28"/>
        </w:rPr>
        <w:t>Informe del Poder Ejecutivo del Estado de Oaxaca.</w:t>
      </w:r>
      <w:r w:rsidRPr="00F868F4">
        <w:rPr>
          <w:sz w:val="28"/>
          <w:szCs w:val="28"/>
        </w:rPr>
        <w:t xml:space="preserve"> </w:t>
      </w:r>
      <w:r w:rsidR="00191FE5" w:rsidRPr="00F868F4">
        <w:rPr>
          <w:sz w:val="28"/>
          <w:szCs w:val="28"/>
        </w:rPr>
        <w:t>El tres de mayo de dos mil veinticuatro,</w:t>
      </w:r>
      <w:r w:rsidR="00FD78C4" w:rsidRPr="00F868F4">
        <w:rPr>
          <w:sz w:val="28"/>
          <w:szCs w:val="28"/>
        </w:rPr>
        <w:t xml:space="preserve"> se recibió el informe</w:t>
      </w:r>
      <w:r w:rsidR="00752365" w:rsidRPr="00F868F4">
        <w:rPr>
          <w:sz w:val="28"/>
          <w:szCs w:val="28"/>
        </w:rPr>
        <w:t xml:space="preserve"> suscrito por</w:t>
      </w:r>
      <w:r w:rsidR="00191FE5" w:rsidRPr="00F868F4">
        <w:rPr>
          <w:sz w:val="28"/>
          <w:szCs w:val="28"/>
        </w:rPr>
        <w:t xml:space="preserve"> </w:t>
      </w:r>
      <w:r w:rsidR="00E707F6" w:rsidRPr="00F868F4">
        <w:rPr>
          <w:sz w:val="28"/>
          <w:szCs w:val="28"/>
        </w:rPr>
        <w:t>Geovany Vásquez Sagrero, en su carácter de Consejero Jurídico de Gobierno del estado</w:t>
      </w:r>
      <w:r w:rsidR="00E63DEB" w:rsidRPr="00F868F4">
        <w:rPr>
          <w:sz w:val="28"/>
          <w:szCs w:val="28"/>
        </w:rPr>
        <w:t>. En el mismo</w:t>
      </w:r>
      <w:r w:rsidR="00FE57DB" w:rsidRPr="00F868F4">
        <w:rPr>
          <w:sz w:val="28"/>
          <w:szCs w:val="28"/>
        </w:rPr>
        <w:t>,</w:t>
      </w:r>
      <w:r w:rsidR="00E63DEB" w:rsidRPr="00F868F4">
        <w:rPr>
          <w:sz w:val="28"/>
          <w:szCs w:val="28"/>
        </w:rPr>
        <w:t xml:space="preserve"> </w:t>
      </w:r>
      <w:r w:rsidR="00FE57DB" w:rsidRPr="00F868F4">
        <w:rPr>
          <w:sz w:val="28"/>
          <w:szCs w:val="28"/>
        </w:rPr>
        <w:t>reconoció</w:t>
      </w:r>
      <w:r w:rsidR="00E63DEB" w:rsidRPr="00F868F4">
        <w:rPr>
          <w:sz w:val="28"/>
          <w:szCs w:val="28"/>
        </w:rPr>
        <w:t xml:space="preserve"> que </w:t>
      </w:r>
      <w:r w:rsidR="00FE57DB" w:rsidRPr="00F868F4">
        <w:rPr>
          <w:sz w:val="28"/>
          <w:szCs w:val="28"/>
        </w:rPr>
        <w:t>el Poder Ejecutivo promulgó y publicó el Decreto núm. 1624 en el Periódico Oficial</w:t>
      </w:r>
      <w:r w:rsidR="00301D07" w:rsidRPr="00F868F4">
        <w:rPr>
          <w:sz w:val="28"/>
          <w:szCs w:val="28"/>
        </w:rPr>
        <w:t xml:space="preserve">, precisando que dicho acto se realizó en estricto cumplimiento a lo dispuesto en los artículos 52, 53, 58 y 80, fracción IX, de la Constitución local. </w:t>
      </w:r>
      <w:r w:rsidR="007661D4" w:rsidRPr="00F868F4">
        <w:rPr>
          <w:sz w:val="28"/>
          <w:szCs w:val="28"/>
        </w:rPr>
        <w:t xml:space="preserve">Por otra parte, </w:t>
      </w:r>
      <w:r w:rsidR="00CF2412" w:rsidRPr="00F868F4">
        <w:rPr>
          <w:sz w:val="28"/>
          <w:szCs w:val="28"/>
        </w:rPr>
        <w:t>desarrolló esencialmente los mismos razonamientos que el Poder Legislativo respecto a la constitucionalidad del decreto impugnado.</w:t>
      </w:r>
    </w:p>
    <w:p w14:paraId="704C300D" w14:textId="2D55A220" w:rsidR="00D72734" w:rsidRPr="00F868F4" w:rsidRDefault="007E1FE5" w:rsidP="00C27AAE">
      <w:pPr>
        <w:pStyle w:val="Prrafo"/>
        <w:numPr>
          <w:ilvl w:val="0"/>
          <w:numId w:val="1"/>
        </w:numPr>
        <w:ind w:left="0" w:hanging="567"/>
        <w:rPr>
          <w:b/>
          <w:bCs/>
          <w:sz w:val="28"/>
          <w:szCs w:val="28"/>
        </w:rPr>
      </w:pPr>
      <w:r w:rsidRPr="00F868F4">
        <w:rPr>
          <w:b/>
          <w:bCs/>
          <w:sz w:val="28"/>
          <w:szCs w:val="28"/>
        </w:rPr>
        <w:t>Desechamiento de la acción de inconstitucionalidad 62/2024.</w:t>
      </w:r>
      <w:r w:rsidRPr="00F868F4">
        <w:rPr>
          <w:sz w:val="28"/>
          <w:szCs w:val="28"/>
        </w:rPr>
        <w:t xml:space="preserve"> </w:t>
      </w:r>
      <w:r w:rsidR="00FF06EE" w:rsidRPr="00F868F4">
        <w:rPr>
          <w:sz w:val="28"/>
          <w:szCs w:val="28"/>
        </w:rPr>
        <w:t xml:space="preserve">A través de un proveído de doce de junio de dos mil veinticuatro, la Ministra instructora desechó la acción de inconstitucionalidad 62/2024, </w:t>
      </w:r>
      <w:r w:rsidR="00E61027" w:rsidRPr="00F868F4">
        <w:rPr>
          <w:sz w:val="28"/>
          <w:szCs w:val="28"/>
        </w:rPr>
        <w:t xml:space="preserve">debido a la falta de certeza sobre la personalidad de </w:t>
      </w:r>
      <w:r w:rsidR="00664237" w:rsidRPr="00F868F4">
        <w:rPr>
          <w:sz w:val="28"/>
          <w:szCs w:val="28"/>
        </w:rPr>
        <w:t>quien</w:t>
      </w:r>
      <w:r w:rsidR="00E61027" w:rsidRPr="00F868F4">
        <w:rPr>
          <w:sz w:val="28"/>
          <w:szCs w:val="28"/>
        </w:rPr>
        <w:t xml:space="preserve"> promovió la acción en representación del Partido </w:t>
      </w:r>
      <w:r w:rsidR="007C6965" w:rsidRPr="00F868F4">
        <w:rPr>
          <w:sz w:val="28"/>
          <w:szCs w:val="28"/>
        </w:rPr>
        <w:t>Político Unidad Popular</w:t>
      </w:r>
      <w:r w:rsidR="00DA7563" w:rsidRPr="00F868F4">
        <w:rPr>
          <w:sz w:val="28"/>
          <w:szCs w:val="28"/>
        </w:rPr>
        <w:t xml:space="preserve">, </w:t>
      </w:r>
      <w:r w:rsidR="000B15BA" w:rsidRPr="00F868F4">
        <w:rPr>
          <w:sz w:val="28"/>
          <w:szCs w:val="28"/>
        </w:rPr>
        <w:t>pues incumplió e</w:t>
      </w:r>
      <w:r w:rsidR="001B7085" w:rsidRPr="00F868F4">
        <w:rPr>
          <w:sz w:val="28"/>
          <w:szCs w:val="28"/>
        </w:rPr>
        <w:t>l</w:t>
      </w:r>
      <w:r w:rsidR="00DA7563" w:rsidRPr="00F868F4">
        <w:rPr>
          <w:sz w:val="28"/>
          <w:szCs w:val="28"/>
        </w:rPr>
        <w:t xml:space="preserve"> requerimiento de presentar </w:t>
      </w:r>
      <w:r w:rsidR="001B7085" w:rsidRPr="00F868F4">
        <w:rPr>
          <w:sz w:val="28"/>
          <w:szCs w:val="28"/>
        </w:rPr>
        <w:t>copia certificad</w:t>
      </w:r>
      <w:r w:rsidR="000B15BA" w:rsidRPr="00F868F4">
        <w:rPr>
          <w:sz w:val="28"/>
          <w:szCs w:val="28"/>
        </w:rPr>
        <w:t>a</w:t>
      </w:r>
      <w:r w:rsidR="001B7085" w:rsidRPr="00F868F4">
        <w:rPr>
          <w:sz w:val="28"/>
          <w:szCs w:val="28"/>
        </w:rPr>
        <w:t xml:space="preserve"> de su nombramiento</w:t>
      </w:r>
      <w:r w:rsidR="000B15BA" w:rsidRPr="00F868F4">
        <w:rPr>
          <w:sz w:val="28"/>
          <w:szCs w:val="28"/>
        </w:rPr>
        <w:t xml:space="preserve"> como dirigente</w:t>
      </w:r>
      <w:r w:rsidR="001B7085" w:rsidRPr="00F868F4">
        <w:rPr>
          <w:sz w:val="28"/>
          <w:szCs w:val="28"/>
        </w:rPr>
        <w:t>,</w:t>
      </w:r>
      <w:r w:rsidR="007C6965" w:rsidRPr="00F868F4">
        <w:rPr>
          <w:sz w:val="28"/>
          <w:szCs w:val="28"/>
        </w:rPr>
        <w:t xml:space="preserve"> y por </w:t>
      </w:r>
      <w:r w:rsidR="001B7085" w:rsidRPr="00F868F4">
        <w:rPr>
          <w:sz w:val="28"/>
          <w:szCs w:val="28"/>
        </w:rPr>
        <w:t>su extemporaneidad</w:t>
      </w:r>
      <w:r w:rsidR="00664237" w:rsidRPr="00F868F4">
        <w:rPr>
          <w:sz w:val="28"/>
          <w:szCs w:val="28"/>
        </w:rPr>
        <w:t>.</w:t>
      </w:r>
    </w:p>
    <w:p w14:paraId="27394E5B" w14:textId="6E93CE34" w:rsidR="00384EB4" w:rsidRPr="00F868F4" w:rsidRDefault="00C27AAE" w:rsidP="00870024">
      <w:pPr>
        <w:pStyle w:val="Prrafo"/>
        <w:numPr>
          <w:ilvl w:val="0"/>
          <w:numId w:val="1"/>
        </w:numPr>
        <w:ind w:left="0" w:hanging="567"/>
        <w:rPr>
          <w:sz w:val="28"/>
          <w:szCs w:val="28"/>
        </w:rPr>
      </w:pPr>
      <w:r w:rsidRPr="00F868F4">
        <w:rPr>
          <w:b/>
          <w:sz w:val="28"/>
          <w:szCs w:val="28"/>
        </w:rPr>
        <w:t>Cierre de la instrucción.</w:t>
      </w:r>
      <w:r w:rsidRPr="00F868F4">
        <w:rPr>
          <w:sz w:val="28"/>
          <w:szCs w:val="28"/>
        </w:rPr>
        <w:t xml:space="preserve"> </w:t>
      </w:r>
      <w:r w:rsidR="00D13FE7" w:rsidRPr="00F868F4">
        <w:rPr>
          <w:sz w:val="28"/>
          <w:szCs w:val="28"/>
        </w:rPr>
        <w:t xml:space="preserve">Mediante acuerdo de diez de julio de dos mil veinticuatro, </w:t>
      </w:r>
      <w:r w:rsidR="0005570B" w:rsidRPr="00F868F4">
        <w:rPr>
          <w:sz w:val="28"/>
          <w:szCs w:val="28"/>
        </w:rPr>
        <w:t>considerando que ni las partes</w:t>
      </w:r>
      <w:r w:rsidR="00870024" w:rsidRPr="00F868F4">
        <w:rPr>
          <w:sz w:val="28"/>
          <w:szCs w:val="28"/>
        </w:rPr>
        <w:t xml:space="preserve"> ni la Fiscalía General de la República o la Consejería Jurídica del Ejecutivo Federal formularon sus </w:t>
      </w:r>
      <w:r w:rsidR="00870024" w:rsidRPr="00F868F4">
        <w:rPr>
          <w:sz w:val="28"/>
          <w:szCs w:val="28"/>
        </w:rPr>
        <w:lastRenderedPageBreak/>
        <w:t xml:space="preserve">alegatos en el plazo concedido, </w:t>
      </w:r>
      <w:r w:rsidR="00032520" w:rsidRPr="00F868F4">
        <w:rPr>
          <w:sz w:val="28"/>
          <w:szCs w:val="28"/>
        </w:rPr>
        <w:t>se declaró el cierre de la instrucción de</w:t>
      </w:r>
      <w:r w:rsidR="002F45A8" w:rsidRPr="00F868F4">
        <w:rPr>
          <w:sz w:val="28"/>
          <w:szCs w:val="28"/>
        </w:rPr>
        <w:t>l asunto,</w:t>
      </w:r>
      <w:r w:rsidR="00032520" w:rsidRPr="00F868F4">
        <w:rPr>
          <w:sz w:val="28"/>
          <w:szCs w:val="28"/>
        </w:rPr>
        <w:t xml:space="preserve"> </w:t>
      </w:r>
      <w:r w:rsidR="00E941EC" w:rsidRPr="00F868F4">
        <w:rPr>
          <w:sz w:val="28"/>
          <w:szCs w:val="28"/>
        </w:rPr>
        <w:t>para la elaboración del proyecto de resolución</w:t>
      </w:r>
      <w:r w:rsidR="002F45A8" w:rsidRPr="00F868F4">
        <w:rPr>
          <w:sz w:val="28"/>
          <w:szCs w:val="28"/>
        </w:rPr>
        <w:t>.</w:t>
      </w:r>
    </w:p>
    <w:bookmarkEnd w:id="1"/>
    <w:p w14:paraId="24282AB4" w14:textId="77777777" w:rsidR="00C27AAE" w:rsidRPr="00F868F4" w:rsidRDefault="00C27AAE" w:rsidP="00AC0B7B">
      <w:pPr>
        <w:pStyle w:val="Ttulo1"/>
        <w:keepNext/>
        <w:rPr>
          <w:szCs w:val="28"/>
        </w:rPr>
      </w:pPr>
      <w:r w:rsidRPr="00F868F4">
        <w:rPr>
          <w:szCs w:val="28"/>
        </w:rPr>
        <w:t>I. COMPETENCIA</w:t>
      </w:r>
    </w:p>
    <w:p w14:paraId="720EBCA5" w14:textId="5FF87D90" w:rsidR="00CD16B4" w:rsidRPr="00F868F4" w:rsidRDefault="00E574F9" w:rsidP="00946CC4">
      <w:pPr>
        <w:pStyle w:val="Prrafo"/>
        <w:numPr>
          <w:ilvl w:val="0"/>
          <w:numId w:val="1"/>
        </w:numPr>
        <w:ind w:left="0" w:hanging="567"/>
        <w:rPr>
          <w:sz w:val="28"/>
          <w:szCs w:val="28"/>
        </w:rPr>
      </w:pPr>
      <w:r w:rsidRPr="00F868F4">
        <w:rPr>
          <w:sz w:val="28"/>
          <w:szCs w:val="28"/>
        </w:rPr>
        <w:t>El</w:t>
      </w:r>
      <w:r w:rsidR="00C27AAE" w:rsidRPr="00F868F4">
        <w:rPr>
          <w:sz w:val="28"/>
          <w:szCs w:val="28"/>
        </w:rPr>
        <w:t xml:space="preserve"> Tribunal Pleno</w:t>
      </w:r>
      <w:r w:rsidR="00282031" w:rsidRPr="00F868F4">
        <w:rPr>
          <w:sz w:val="28"/>
          <w:szCs w:val="28"/>
        </w:rPr>
        <w:t xml:space="preserve"> de </w:t>
      </w:r>
      <w:r w:rsidRPr="00F868F4">
        <w:rPr>
          <w:sz w:val="28"/>
          <w:szCs w:val="28"/>
        </w:rPr>
        <w:t>esta</w:t>
      </w:r>
      <w:r w:rsidR="00282031" w:rsidRPr="00F868F4">
        <w:rPr>
          <w:sz w:val="28"/>
          <w:szCs w:val="28"/>
        </w:rPr>
        <w:t xml:space="preserve"> Suprema Corte de Justicia de la Nación tiene</w:t>
      </w:r>
      <w:r w:rsidR="002F4387" w:rsidRPr="00F868F4">
        <w:rPr>
          <w:sz w:val="28"/>
          <w:szCs w:val="28"/>
        </w:rPr>
        <w:t xml:space="preserve"> la</w:t>
      </w:r>
      <w:r w:rsidR="00282031" w:rsidRPr="00F868F4">
        <w:rPr>
          <w:sz w:val="28"/>
          <w:szCs w:val="28"/>
        </w:rPr>
        <w:t xml:space="preserve"> competencia exclusiva para analizar</w:t>
      </w:r>
      <w:r w:rsidR="00FB2F5A" w:rsidRPr="00F868F4">
        <w:rPr>
          <w:sz w:val="28"/>
          <w:szCs w:val="28"/>
        </w:rPr>
        <w:t xml:space="preserve"> las acciones de inconstitucionalidad en las que se reclame</w:t>
      </w:r>
      <w:r w:rsidR="00B91D7D" w:rsidRPr="00F868F4">
        <w:rPr>
          <w:sz w:val="28"/>
          <w:szCs w:val="28"/>
        </w:rPr>
        <w:t xml:space="preserve"> </w:t>
      </w:r>
      <w:r w:rsidR="00D84FEC" w:rsidRPr="00F868F4">
        <w:rPr>
          <w:bCs/>
          <w:sz w:val="28"/>
          <w:szCs w:val="28"/>
        </w:rPr>
        <w:t>—</w:t>
      </w:r>
      <w:r w:rsidR="00B91D7D" w:rsidRPr="00F868F4">
        <w:rPr>
          <w:sz w:val="28"/>
          <w:szCs w:val="28"/>
        </w:rPr>
        <w:t>en abstracto</w:t>
      </w:r>
      <w:r w:rsidR="00D84FEC" w:rsidRPr="00F868F4">
        <w:rPr>
          <w:bCs/>
          <w:sz w:val="28"/>
          <w:szCs w:val="28"/>
        </w:rPr>
        <w:t>—</w:t>
      </w:r>
      <w:r w:rsidR="00282031" w:rsidRPr="00F868F4">
        <w:rPr>
          <w:sz w:val="28"/>
          <w:szCs w:val="28"/>
        </w:rPr>
        <w:t xml:space="preserve"> </w:t>
      </w:r>
      <w:r w:rsidR="00FB2F5A" w:rsidRPr="00F868F4">
        <w:rPr>
          <w:sz w:val="28"/>
          <w:szCs w:val="28"/>
        </w:rPr>
        <w:t>la no conformidad de las leyes electorales a la Constitución</w:t>
      </w:r>
      <w:r w:rsidR="00B91D7D" w:rsidRPr="00F868F4">
        <w:rPr>
          <w:sz w:val="28"/>
          <w:szCs w:val="28"/>
        </w:rPr>
        <w:t xml:space="preserve">, </w:t>
      </w:r>
      <w:r w:rsidR="00172BED" w:rsidRPr="00F868F4">
        <w:rPr>
          <w:sz w:val="28"/>
          <w:szCs w:val="28"/>
        </w:rPr>
        <w:t>con fundamento en</w:t>
      </w:r>
      <w:r w:rsidR="00B91D7D" w:rsidRPr="00F868F4">
        <w:rPr>
          <w:sz w:val="28"/>
          <w:szCs w:val="28"/>
        </w:rPr>
        <w:t xml:space="preserve"> los artículos </w:t>
      </w:r>
      <w:r w:rsidR="00946CC4" w:rsidRPr="00F868F4">
        <w:rPr>
          <w:sz w:val="28"/>
          <w:szCs w:val="28"/>
        </w:rPr>
        <w:t>105, fracción II, párrafos primero,</w:t>
      </w:r>
      <w:r w:rsidR="00667094" w:rsidRPr="00F868F4">
        <w:rPr>
          <w:sz w:val="28"/>
          <w:szCs w:val="28"/>
        </w:rPr>
        <w:t xml:space="preserve"> segundo,</w:t>
      </w:r>
      <w:r w:rsidR="00946CC4" w:rsidRPr="00F868F4">
        <w:rPr>
          <w:sz w:val="28"/>
          <w:szCs w:val="28"/>
        </w:rPr>
        <w:t xml:space="preserve"> </w:t>
      </w:r>
      <w:r w:rsidR="004D33DB" w:rsidRPr="00F868F4">
        <w:rPr>
          <w:sz w:val="28"/>
          <w:szCs w:val="28"/>
        </w:rPr>
        <w:t xml:space="preserve">inciso </w:t>
      </w:r>
      <w:r w:rsidR="0084520A" w:rsidRPr="00F868F4">
        <w:rPr>
          <w:sz w:val="28"/>
          <w:szCs w:val="28"/>
        </w:rPr>
        <w:t>f</w:t>
      </w:r>
      <w:r w:rsidR="004D33DB" w:rsidRPr="00F868F4">
        <w:rPr>
          <w:sz w:val="28"/>
          <w:szCs w:val="28"/>
        </w:rPr>
        <w:t>)</w:t>
      </w:r>
      <w:r w:rsidR="0064726B" w:rsidRPr="00F868F4">
        <w:rPr>
          <w:sz w:val="28"/>
          <w:szCs w:val="28"/>
        </w:rPr>
        <w:t>;</w:t>
      </w:r>
      <w:r w:rsidR="00946CC4" w:rsidRPr="00F868F4">
        <w:rPr>
          <w:sz w:val="28"/>
          <w:szCs w:val="28"/>
        </w:rPr>
        <w:t xml:space="preserve"> y </w:t>
      </w:r>
      <w:r w:rsidR="00667094" w:rsidRPr="00F868F4">
        <w:rPr>
          <w:sz w:val="28"/>
          <w:szCs w:val="28"/>
        </w:rPr>
        <w:t>tercero</w:t>
      </w:r>
      <w:r w:rsidR="00473B7D" w:rsidRPr="00F868F4">
        <w:rPr>
          <w:sz w:val="28"/>
          <w:szCs w:val="28"/>
        </w:rPr>
        <w:t xml:space="preserve">, de la Constitución Política del </w:t>
      </w:r>
      <w:r w:rsidR="00D273DE" w:rsidRPr="00F868F4">
        <w:rPr>
          <w:sz w:val="28"/>
          <w:szCs w:val="28"/>
        </w:rPr>
        <w:t>p</w:t>
      </w:r>
      <w:r w:rsidR="00473B7D" w:rsidRPr="00F868F4">
        <w:rPr>
          <w:sz w:val="28"/>
          <w:szCs w:val="28"/>
        </w:rPr>
        <w:t>aís</w:t>
      </w:r>
      <w:r w:rsidR="00D273DE" w:rsidRPr="00F868F4">
        <w:rPr>
          <w:rStyle w:val="Refdenotaalpie"/>
          <w:sz w:val="28"/>
          <w:szCs w:val="28"/>
        </w:rPr>
        <w:footnoteReference w:id="6"/>
      </w:r>
      <w:r w:rsidR="00473B7D" w:rsidRPr="00F868F4">
        <w:rPr>
          <w:sz w:val="28"/>
          <w:szCs w:val="28"/>
        </w:rPr>
        <w:t xml:space="preserve"> y </w:t>
      </w:r>
      <w:r w:rsidR="00D273DE" w:rsidRPr="00F868F4">
        <w:rPr>
          <w:sz w:val="28"/>
          <w:szCs w:val="28"/>
        </w:rPr>
        <w:t>10, fracción I, de la Ley Orgánica del Poder Judicial de la Federación</w:t>
      </w:r>
      <w:r w:rsidR="00D273DE" w:rsidRPr="00F868F4">
        <w:rPr>
          <w:rStyle w:val="Refdenotaalpie"/>
          <w:sz w:val="28"/>
          <w:szCs w:val="28"/>
        </w:rPr>
        <w:footnoteReference w:id="7"/>
      </w:r>
      <w:r w:rsidR="00D273DE" w:rsidRPr="00F868F4">
        <w:rPr>
          <w:sz w:val="28"/>
          <w:szCs w:val="28"/>
        </w:rPr>
        <w:t>.</w:t>
      </w:r>
    </w:p>
    <w:p w14:paraId="36FB2DB9" w14:textId="50D00B7B" w:rsidR="00AB6699" w:rsidRDefault="00A30AD1" w:rsidP="00C35CA0">
      <w:pPr>
        <w:pStyle w:val="Prrafo"/>
        <w:numPr>
          <w:ilvl w:val="0"/>
          <w:numId w:val="1"/>
        </w:numPr>
        <w:ind w:left="0" w:hanging="567"/>
        <w:rPr>
          <w:sz w:val="28"/>
          <w:szCs w:val="28"/>
        </w:rPr>
      </w:pPr>
      <w:r w:rsidRPr="00F868F4">
        <w:rPr>
          <w:sz w:val="28"/>
          <w:szCs w:val="28"/>
        </w:rPr>
        <w:t xml:space="preserve">En el caso, </w:t>
      </w:r>
      <w:r w:rsidR="0016762D" w:rsidRPr="00F868F4">
        <w:rPr>
          <w:sz w:val="28"/>
          <w:szCs w:val="28"/>
        </w:rPr>
        <w:t>el</w:t>
      </w:r>
      <w:r w:rsidR="00CD16B4" w:rsidRPr="00F868F4">
        <w:rPr>
          <w:sz w:val="28"/>
          <w:szCs w:val="28"/>
        </w:rPr>
        <w:t xml:space="preserve"> </w:t>
      </w:r>
      <w:r w:rsidR="00C35CA0" w:rsidRPr="00F868F4">
        <w:rPr>
          <w:sz w:val="28"/>
          <w:szCs w:val="28"/>
        </w:rPr>
        <w:t xml:space="preserve">PAN </w:t>
      </w:r>
      <w:r w:rsidR="00C35CA0" w:rsidRPr="00F868F4">
        <w:rPr>
          <w:bCs/>
          <w:sz w:val="28"/>
          <w:szCs w:val="28"/>
        </w:rPr>
        <w:t>—</w:t>
      </w:r>
      <w:r w:rsidR="00CD16B4" w:rsidRPr="00F868F4">
        <w:rPr>
          <w:sz w:val="28"/>
          <w:szCs w:val="28"/>
        </w:rPr>
        <w:t xml:space="preserve">en su carácter de partido político </w:t>
      </w:r>
      <w:r w:rsidR="00C35CA0" w:rsidRPr="00F868F4">
        <w:rPr>
          <w:sz w:val="28"/>
          <w:szCs w:val="28"/>
        </w:rPr>
        <w:t>nacional</w:t>
      </w:r>
      <w:r w:rsidR="00C35CA0" w:rsidRPr="00F868F4">
        <w:rPr>
          <w:bCs/>
          <w:sz w:val="28"/>
          <w:szCs w:val="28"/>
        </w:rPr>
        <w:t>—</w:t>
      </w:r>
      <w:r w:rsidR="00550072" w:rsidRPr="00F868F4">
        <w:rPr>
          <w:sz w:val="28"/>
          <w:szCs w:val="28"/>
        </w:rPr>
        <w:t xml:space="preserve"> </w:t>
      </w:r>
      <w:r w:rsidR="00A473D1" w:rsidRPr="00F868F4">
        <w:rPr>
          <w:sz w:val="28"/>
          <w:szCs w:val="28"/>
        </w:rPr>
        <w:t>plantea</w:t>
      </w:r>
      <w:r w:rsidR="00550072" w:rsidRPr="00F868F4">
        <w:rPr>
          <w:sz w:val="28"/>
          <w:szCs w:val="28"/>
        </w:rPr>
        <w:t xml:space="preserve"> que el Decreto núm. 1624, por el que se reforma la fracción I de la base A del artículo 25 de la Constitución </w:t>
      </w:r>
      <w:r w:rsidR="0066554B" w:rsidRPr="00F868F4">
        <w:rPr>
          <w:sz w:val="28"/>
          <w:szCs w:val="28"/>
        </w:rPr>
        <w:t>local</w:t>
      </w:r>
      <w:r w:rsidR="004C0A60" w:rsidRPr="00F868F4">
        <w:rPr>
          <w:sz w:val="28"/>
          <w:szCs w:val="28"/>
        </w:rPr>
        <w:t>,</w:t>
      </w:r>
      <w:r w:rsidR="00550072" w:rsidRPr="00F868F4">
        <w:rPr>
          <w:sz w:val="28"/>
          <w:szCs w:val="28"/>
        </w:rPr>
        <w:t xml:space="preserve"> </w:t>
      </w:r>
      <w:r w:rsidR="0066554B" w:rsidRPr="00F868F4">
        <w:rPr>
          <w:sz w:val="28"/>
          <w:szCs w:val="28"/>
        </w:rPr>
        <w:t>viola diversas disposiciones de la Constitución Política de los Estados Unidos Mexicanos.</w:t>
      </w:r>
      <w:r w:rsidR="00BF6E1B" w:rsidRPr="00F868F4">
        <w:rPr>
          <w:sz w:val="28"/>
          <w:szCs w:val="28"/>
        </w:rPr>
        <w:t xml:space="preserve"> Por tanto, se actualiza la competencia de este Tribunal Pleno para resolver el asunto.</w:t>
      </w:r>
    </w:p>
    <w:p w14:paraId="465DE90B" w14:textId="77777777" w:rsidR="00C27AAE" w:rsidRPr="00F868F4" w:rsidRDefault="00C27AAE" w:rsidP="00C27AAE">
      <w:pPr>
        <w:pStyle w:val="Ttulo1"/>
        <w:rPr>
          <w:szCs w:val="28"/>
        </w:rPr>
      </w:pPr>
      <w:r w:rsidRPr="00F868F4">
        <w:rPr>
          <w:szCs w:val="28"/>
        </w:rPr>
        <w:lastRenderedPageBreak/>
        <w:t>II. PRECISIÓN DE LAS DISPOSICIONES RECLAMADAS</w:t>
      </w:r>
    </w:p>
    <w:p w14:paraId="46193731" w14:textId="66C2B377" w:rsidR="00F668DC" w:rsidRPr="00F868F4" w:rsidRDefault="008B05AC" w:rsidP="005F73F8">
      <w:pPr>
        <w:pStyle w:val="Prrafo"/>
        <w:numPr>
          <w:ilvl w:val="0"/>
          <w:numId w:val="1"/>
        </w:numPr>
        <w:ind w:left="0" w:hanging="567"/>
        <w:rPr>
          <w:sz w:val="28"/>
          <w:szCs w:val="28"/>
        </w:rPr>
      </w:pPr>
      <w:bookmarkStart w:id="2" w:name="_Hlk45891706"/>
      <w:r w:rsidRPr="00F868F4">
        <w:rPr>
          <w:sz w:val="28"/>
          <w:szCs w:val="28"/>
        </w:rPr>
        <w:t xml:space="preserve">Esta alto </w:t>
      </w:r>
      <w:r w:rsidR="00C23B06" w:rsidRPr="00F868F4">
        <w:rPr>
          <w:sz w:val="28"/>
          <w:szCs w:val="28"/>
        </w:rPr>
        <w:t xml:space="preserve">tribunal considera que </w:t>
      </w:r>
      <w:r w:rsidR="006B64AD" w:rsidRPr="00F868F4">
        <w:rPr>
          <w:sz w:val="28"/>
          <w:szCs w:val="28"/>
        </w:rPr>
        <w:t xml:space="preserve">la pretensión del partido promovente es cuestionar la validez </w:t>
      </w:r>
      <w:r w:rsidR="00475513" w:rsidRPr="00F868F4">
        <w:rPr>
          <w:sz w:val="28"/>
          <w:szCs w:val="28"/>
        </w:rPr>
        <w:t xml:space="preserve">íntegra </w:t>
      </w:r>
      <w:r w:rsidR="006B64AD" w:rsidRPr="00F868F4">
        <w:rPr>
          <w:sz w:val="28"/>
          <w:szCs w:val="28"/>
        </w:rPr>
        <w:t>del Decreto núm</w:t>
      </w:r>
      <w:r w:rsidR="00905DCA" w:rsidRPr="00F868F4">
        <w:rPr>
          <w:sz w:val="28"/>
          <w:szCs w:val="28"/>
        </w:rPr>
        <w:t>.</w:t>
      </w:r>
      <w:r w:rsidR="006B64AD" w:rsidRPr="00F868F4">
        <w:rPr>
          <w:sz w:val="28"/>
          <w:szCs w:val="28"/>
        </w:rPr>
        <w:t xml:space="preserve"> 1624, tal como </w:t>
      </w:r>
      <w:r w:rsidR="00416566" w:rsidRPr="00F868F4">
        <w:rPr>
          <w:sz w:val="28"/>
          <w:szCs w:val="28"/>
        </w:rPr>
        <w:t>señala expresamente</w:t>
      </w:r>
      <w:r w:rsidR="006B64AD" w:rsidRPr="00F868F4">
        <w:rPr>
          <w:sz w:val="28"/>
          <w:szCs w:val="28"/>
        </w:rPr>
        <w:t xml:space="preserve"> en </w:t>
      </w:r>
      <w:r w:rsidR="005444C6" w:rsidRPr="00F868F4">
        <w:rPr>
          <w:sz w:val="28"/>
          <w:szCs w:val="28"/>
        </w:rPr>
        <w:t>su</w:t>
      </w:r>
      <w:r w:rsidR="006B64AD" w:rsidRPr="00F868F4">
        <w:rPr>
          <w:sz w:val="28"/>
          <w:szCs w:val="28"/>
        </w:rPr>
        <w:t xml:space="preserve"> escrito de demanda.</w:t>
      </w:r>
      <w:r w:rsidR="00F668DC" w:rsidRPr="00F868F4">
        <w:rPr>
          <w:sz w:val="28"/>
          <w:szCs w:val="28"/>
        </w:rPr>
        <w:t xml:space="preserve"> </w:t>
      </w:r>
      <w:r w:rsidR="0062140E" w:rsidRPr="00F868F4">
        <w:rPr>
          <w:sz w:val="28"/>
          <w:szCs w:val="28"/>
        </w:rPr>
        <w:t xml:space="preserve">No pasa </w:t>
      </w:r>
      <w:r w:rsidR="00D71CE7">
        <w:rPr>
          <w:sz w:val="28"/>
          <w:szCs w:val="28"/>
        </w:rPr>
        <w:t>inadvertido</w:t>
      </w:r>
      <w:r w:rsidR="00A61634" w:rsidRPr="00F868F4">
        <w:rPr>
          <w:sz w:val="28"/>
          <w:szCs w:val="28"/>
        </w:rPr>
        <w:t xml:space="preserve"> que los</w:t>
      </w:r>
      <w:r w:rsidR="00C75C27" w:rsidRPr="00F868F4">
        <w:rPr>
          <w:sz w:val="28"/>
          <w:szCs w:val="28"/>
        </w:rPr>
        <w:t xml:space="preserve"> </w:t>
      </w:r>
      <w:r w:rsidR="00B34682" w:rsidRPr="00F868F4">
        <w:rPr>
          <w:sz w:val="28"/>
          <w:szCs w:val="28"/>
        </w:rPr>
        <w:t xml:space="preserve">cuestionamientos </w:t>
      </w:r>
      <w:r w:rsidR="00C04C31" w:rsidRPr="00F868F4">
        <w:rPr>
          <w:sz w:val="28"/>
          <w:szCs w:val="28"/>
        </w:rPr>
        <w:t>se circunscriben</w:t>
      </w:r>
      <w:r w:rsidR="00B34682" w:rsidRPr="00F868F4">
        <w:rPr>
          <w:sz w:val="28"/>
          <w:szCs w:val="28"/>
        </w:rPr>
        <w:t xml:space="preserve"> al</w:t>
      </w:r>
      <w:r w:rsidR="00B619C8" w:rsidRPr="00F868F4">
        <w:rPr>
          <w:sz w:val="28"/>
          <w:szCs w:val="28"/>
        </w:rPr>
        <w:t xml:space="preserve"> contenido</w:t>
      </w:r>
      <w:r w:rsidR="00C65EE3" w:rsidRPr="00F868F4">
        <w:rPr>
          <w:sz w:val="28"/>
          <w:szCs w:val="28"/>
        </w:rPr>
        <w:t xml:space="preserve"> del</w:t>
      </w:r>
      <w:r w:rsidR="006E73D0" w:rsidRPr="00F868F4">
        <w:rPr>
          <w:sz w:val="28"/>
          <w:szCs w:val="28"/>
        </w:rPr>
        <w:t xml:space="preserve"> </w:t>
      </w:r>
      <w:r w:rsidR="009351B7" w:rsidRPr="00F868F4">
        <w:rPr>
          <w:sz w:val="28"/>
          <w:szCs w:val="28"/>
        </w:rPr>
        <w:t xml:space="preserve">artículo cuarto transitorio </w:t>
      </w:r>
      <w:r w:rsidR="00397678" w:rsidRPr="00F868F4">
        <w:rPr>
          <w:sz w:val="28"/>
          <w:szCs w:val="28"/>
        </w:rPr>
        <w:t>de dicho</w:t>
      </w:r>
      <w:r w:rsidR="009351B7" w:rsidRPr="00F868F4">
        <w:rPr>
          <w:sz w:val="28"/>
          <w:szCs w:val="28"/>
        </w:rPr>
        <w:t xml:space="preserve"> </w:t>
      </w:r>
      <w:r w:rsidR="00397678" w:rsidRPr="00F868F4">
        <w:rPr>
          <w:sz w:val="28"/>
          <w:szCs w:val="28"/>
        </w:rPr>
        <w:t>decreto</w:t>
      </w:r>
      <w:r w:rsidR="000737ED" w:rsidRPr="00F868F4">
        <w:rPr>
          <w:sz w:val="28"/>
          <w:szCs w:val="28"/>
        </w:rPr>
        <w:t xml:space="preserve">, pues </w:t>
      </w:r>
      <w:r w:rsidR="008F4B1E" w:rsidRPr="00F868F4">
        <w:rPr>
          <w:sz w:val="28"/>
          <w:szCs w:val="28"/>
        </w:rPr>
        <w:t xml:space="preserve">el accionante </w:t>
      </w:r>
      <w:r w:rsidR="000737ED" w:rsidRPr="00F868F4">
        <w:rPr>
          <w:sz w:val="28"/>
          <w:szCs w:val="28"/>
        </w:rPr>
        <w:t xml:space="preserve">no plantea </w:t>
      </w:r>
      <w:r w:rsidR="0074247F" w:rsidRPr="00F868F4">
        <w:rPr>
          <w:sz w:val="28"/>
          <w:szCs w:val="28"/>
        </w:rPr>
        <w:t>que</w:t>
      </w:r>
      <w:r w:rsidR="00B40A97" w:rsidRPr="00F868F4">
        <w:rPr>
          <w:sz w:val="28"/>
          <w:szCs w:val="28"/>
        </w:rPr>
        <w:t xml:space="preserve"> la fracción I de la base A del artículo 25 de la Constitución local</w:t>
      </w:r>
      <w:r w:rsidR="00B7326A" w:rsidRPr="00F868F4">
        <w:rPr>
          <w:sz w:val="28"/>
          <w:szCs w:val="28"/>
        </w:rPr>
        <w:t xml:space="preserve">, que se reformó para </w:t>
      </w:r>
      <w:r w:rsidR="007E6E72" w:rsidRPr="00F868F4">
        <w:rPr>
          <w:sz w:val="28"/>
          <w:szCs w:val="28"/>
        </w:rPr>
        <w:t>establece</w:t>
      </w:r>
      <w:r w:rsidR="001D758C" w:rsidRPr="00F868F4">
        <w:rPr>
          <w:sz w:val="28"/>
          <w:szCs w:val="28"/>
        </w:rPr>
        <w:t>r</w:t>
      </w:r>
      <w:r w:rsidR="0074247F" w:rsidRPr="00F868F4">
        <w:rPr>
          <w:sz w:val="28"/>
          <w:szCs w:val="28"/>
        </w:rPr>
        <w:t xml:space="preserve"> </w:t>
      </w:r>
      <w:r w:rsidR="00583F7A" w:rsidRPr="00F868F4">
        <w:rPr>
          <w:sz w:val="28"/>
          <w:szCs w:val="28"/>
        </w:rPr>
        <w:t>la concurrencia de las elecciones estatales con los comicios federales</w:t>
      </w:r>
      <w:r w:rsidR="008F4B1E" w:rsidRPr="00F868F4">
        <w:rPr>
          <w:sz w:val="28"/>
          <w:szCs w:val="28"/>
        </w:rPr>
        <w:t>,</w:t>
      </w:r>
      <w:r w:rsidR="0074247F" w:rsidRPr="00F868F4">
        <w:rPr>
          <w:sz w:val="28"/>
          <w:szCs w:val="28"/>
        </w:rPr>
        <w:t xml:space="preserve"> </w:t>
      </w:r>
      <w:r w:rsidR="00583F7A" w:rsidRPr="00F868F4">
        <w:rPr>
          <w:sz w:val="28"/>
          <w:szCs w:val="28"/>
        </w:rPr>
        <w:t xml:space="preserve">sea </w:t>
      </w:r>
      <w:r w:rsidR="008F4B1E" w:rsidRPr="00F868F4">
        <w:rPr>
          <w:sz w:val="28"/>
          <w:szCs w:val="28"/>
        </w:rPr>
        <w:t xml:space="preserve">por sí misma </w:t>
      </w:r>
      <w:r w:rsidR="00583F7A" w:rsidRPr="00F868F4">
        <w:rPr>
          <w:sz w:val="28"/>
          <w:szCs w:val="28"/>
        </w:rPr>
        <w:t>inconstitucional</w:t>
      </w:r>
      <w:r w:rsidR="00B7326A" w:rsidRPr="00F868F4">
        <w:rPr>
          <w:sz w:val="28"/>
          <w:szCs w:val="28"/>
        </w:rPr>
        <w:t>.</w:t>
      </w:r>
    </w:p>
    <w:p w14:paraId="6E8F755A" w14:textId="414D89C0" w:rsidR="00A81900" w:rsidRPr="00F868F4" w:rsidRDefault="002A085E" w:rsidP="00F668DC">
      <w:pPr>
        <w:pStyle w:val="Prrafo"/>
        <w:numPr>
          <w:ilvl w:val="0"/>
          <w:numId w:val="1"/>
        </w:numPr>
        <w:ind w:left="0" w:hanging="567"/>
        <w:rPr>
          <w:sz w:val="28"/>
          <w:szCs w:val="28"/>
        </w:rPr>
      </w:pPr>
      <w:r w:rsidRPr="00F868F4">
        <w:rPr>
          <w:sz w:val="28"/>
          <w:szCs w:val="28"/>
        </w:rPr>
        <w:t>Los argumentos sobre la</w:t>
      </w:r>
      <w:r w:rsidR="002861FF" w:rsidRPr="00F868F4">
        <w:rPr>
          <w:sz w:val="28"/>
          <w:szCs w:val="28"/>
        </w:rPr>
        <w:t xml:space="preserve"> violación del deber de consultar previamente a las comunidades indígenas, del mandato de paridad de género y del artículo 116 </w:t>
      </w:r>
      <w:r w:rsidR="007E19F2" w:rsidRPr="00F868F4">
        <w:rPr>
          <w:sz w:val="28"/>
          <w:szCs w:val="28"/>
        </w:rPr>
        <w:t>constitucional</w:t>
      </w:r>
      <w:r w:rsidR="002861FF" w:rsidRPr="00F868F4">
        <w:rPr>
          <w:sz w:val="28"/>
          <w:szCs w:val="28"/>
        </w:rPr>
        <w:t xml:space="preserve">, </w:t>
      </w:r>
      <w:r w:rsidR="00747C97" w:rsidRPr="00F868F4">
        <w:rPr>
          <w:sz w:val="28"/>
          <w:szCs w:val="28"/>
        </w:rPr>
        <w:t xml:space="preserve">se </w:t>
      </w:r>
      <w:r w:rsidR="00A509D7" w:rsidRPr="00F868F4">
        <w:rPr>
          <w:sz w:val="28"/>
          <w:szCs w:val="28"/>
        </w:rPr>
        <w:t>orientan a reclamar</w:t>
      </w:r>
      <w:r w:rsidR="002D2EA1" w:rsidRPr="00F868F4">
        <w:rPr>
          <w:sz w:val="28"/>
          <w:szCs w:val="28"/>
        </w:rPr>
        <w:t xml:space="preserve"> que para la implementación de </w:t>
      </w:r>
      <w:r w:rsidRPr="00F868F4">
        <w:rPr>
          <w:sz w:val="28"/>
          <w:szCs w:val="28"/>
        </w:rPr>
        <w:t>la</w:t>
      </w:r>
      <w:r w:rsidR="002D2EA1" w:rsidRPr="00F868F4">
        <w:rPr>
          <w:sz w:val="28"/>
          <w:szCs w:val="28"/>
        </w:rPr>
        <w:t xml:space="preserve"> reforma se dispuso</w:t>
      </w:r>
      <w:r w:rsidR="007D683E" w:rsidRPr="00F868F4">
        <w:rPr>
          <w:sz w:val="28"/>
          <w:szCs w:val="28"/>
        </w:rPr>
        <w:t xml:space="preserve"> en una norma transitoria</w:t>
      </w:r>
      <w:r w:rsidR="002D2EA1" w:rsidRPr="00F868F4">
        <w:rPr>
          <w:sz w:val="28"/>
          <w:szCs w:val="28"/>
        </w:rPr>
        <w:t xml:space="preserve"> </w:t>
      </w:r>
      <w:r w:rsidR="00EA7599" w:rsidRPr="00F868F4">
        <w:rPr>
          <w:sz w:val="28"/>
          <w:szCs w:val="28"/>
        </w:rPr>
        <w:t xml:space="preserve">que la Gubernatura </w:t>
      </w:r>
      <w:r w:rsidR="00861DE5" w:rsidRPr="00F868F4">
        <w:rPr>
          <w:sz w:val="28"/>
          <w:szCs w:val="28"/>
        </w:rPr>
        <w:t>electa</w:t>
      </w:r>
      <w:r w:rsidR="00EA7599" w:rsidRPr="00F868F4">
        <w:rPr>
          <w:sz w:val="28"/>
          <w:szCs w:val="28"/>
        </w:rPr>
        <w:t xml:space="preserve"> en el dos mil veintiocho solamente durará dos años</w:t>
      </w:r>
      <w:r w:rsidR="00812334" w:rsidRPr="00F868F4">
        <w:rPr>
          <w:sz w:val="28"/>
          <w:szCs w:val="28"/>
        </w:rPr>
        <w:t>, de manera que</w:t>
      </w:r>
      <w:r w:rsidR="00707A56" w:rsidRPr="00F868F4">
        <w:rPr>
          <w:sz w:val="28"/>
          <w:szCs w:val="28"/>
        </w:rPr>
        <w:t xml:space="preserve"> </w:t>
      </w:r>
      <w:r w:rsidR="00812334" w:rsidRPr="00F868F4">
        <w:rPr>
          <w:sz w:val="28"/>
          <w:szCs w:val="28"/>
        </w:rPr>
        <w:t xml:space="preserve">la </w:t>
      </w:r>
      <w:r w:rsidR="00D47318" w:rsidRPr="00F868F4">
        <w:rPr>
          <w:sz w:val="28"/>
          <w:szCs w:val="28"/>
        </w:rPr>
        <w:t>subsecuente</w:t>
      </w:r>
      <w:r w:rsidR="00812334" w:rsidRPr="00F868F4">
        <w:rPr>
          <w:sz w:val="28"/>
          <w:szCs w:val="28"/>
        </w:rPr>
        <w:t xml:space="preserve"> elección de ese encargo se </w:t>
      </w:r>
      <w:r w:rsidR="008E78CB" w:rsidRPr="00F868F4">
        <w:rPr>
          <w:sz w:val="28"/>
          <w:szCs w:val="28"/>
        </w:rPr>
        <w:t>empareje</w:t>
      </w:r>
      <w:r w:rsidR="00812334" w:rsidRPr="00F868F4">
        <w:rPr>
          <w:sz w:val="28"/>
          <w:szCs w:val="28"/>
        </w:rPr>
        <w:t xml:space="preserve"> con </w:t>
      </w:r>
      <w:r w:rsidR="00E95A38" w:rsidRPr="00F868F4">
        <w:rPr>
          <w:sz w:val="28"/>
          <w:szCs w:val="28"/>
        </w:rPr>
        <w:t xml:space="preserve">el proceso electoral federal </w:t>
      </w:r>
      <w:r w:rsidR="004F50A2" w:rsidRPr="00F868F4">
        <w:rPr>
          <w:sz w:val="28"/>
          <w:szCs w:val="28"/>
        </w:rPr>
        <w:t>a celebrarse en</w:t>
      </w:r>
      <w:r w:rsidR="00E95A38" w:rsidRPr="00F868F4">
        <w:rPr>
          <w:sz w:val="28"/>
          <w:szCs w:val="28"/>
        </w:rPr>
        <w:t xml:space="preserve"> dos mil treinta, en el que se renovarán la Presidencia de la República y el Congreso de la Unión.</w:t>
      </w:r>
    </w:p>
    <w:p w14:paraId="3CA2AE88" w14:textId="5E99CF78" w:rsidR="00AE3384" w:rsidRPr="00F868F4" w:rsidRDefault="00CB1241" w:rsidP="007E19F2">
      <w:pPr>
        <w:pStyle w:val="Prrafo"/>
        <w:numPr>
          <w:ilvl w:val="0"/>
          <w:numId w:val="1"/>
        </w:numPr>
        <w:ind w:left="0" w:hanging="567"/>
        <w:rPr>
          <w:sz w:val="28"/>
          <w:szCs w:val="28"/>
        </w:rPr>
      </w:pPr>
      <w:r w:rsidRPr="00F868F4">
        <w:rPr>
          <w:sz w:val="28"/>
          <w:szCs w:val="28"/>
        </w:rPr>
        <w:t>Sin embargo,</w:t>
      </w:r>
      <w:r w:rsidR="005C0A99" w:rsidRPr="00F868F4">
        <w:rPr>
          <w:sz w:val="28"/>
          <w:szCs w:val="28"/>
        </w:rPr>
        <w:t xml:space="preserve"> </w:t>
      </w:r>
      <w:r w:rsidR="00345C5E" w:rsidRPr="00F868F4">
        <w:rPr>
          <w:b/>
          <w:bCs/>
          <w:sz w:val="28"/>
          <w:szCs w:val="28"/>
        </w:rPr>
        <w:t>la modificación de la fracción I de la base A del artículo 25 de la Constitución local</w:t>
      </w:r>
      <w:r w:rsidR="007A5C15" w:rsidRPr="00F868F4">
        <w:rPr>
          <w:b/>
          <w:bCs/>
          <w:sz w:val="28"/>
          <w:szCs w:val="28"/>
        </w:rPr>
        <w:t xml:space="preserve"> y el articulado transitorio del decreto </w:t>
      </w:r>
      <w:r w:rsidR="00D47738" w:rsidRPr="00F868F4">
        <w:rPr>
          <w:b/>
          <w:bCs/>
          <w:sz w:val="28"/>
          <w:szCs w:val="28"/>
        </w:rPr>
        <w:t>son</w:t>
      </w:r>
      <w:r w:rsidR="000C7412" w:rsidRPr="00F868F4">
        <w:rPr>
          <w:b/>
          <w:bCs/>
          <w:sz w:val="28"/>
          <w:szCs w:val="28"/>
        </w:rPr>
        <w:t xml:space="preserve"> una unidad normativa</w:t>
      </w:r>
      <w:r w:rsidR="00B5727C" w:rsidRPr="00F868F4">
        <w:rPr>
          <w:sz w:val="28"/>
          <w:szCs w:val="28"/>
        </w:rPr>
        <w:t xml:space="preserve">, </w:t>
      </w:r>
      <w:r w:rsidR="00AD4EA1" w:rsidRPr="00F868F4">
        <w:rPr>
          <w:sz w:val="28"/>
          <w:szCs w:val="28"/>
        </w:rPr>
        <w:t>pues</w:t>
      </w:r>
      <w:r w:rsidR="00D06976" w:rsidRPr="00F868F4">
        <w:rPr>
          <w:sz w:val="28"/>
          <w:szCs w:val="28"/>
        </w:rPr>
        <w:t xml:space="preserve"> para que se materialice la concurrencia de las tres elecciones estatales con las federales es </w:t>
      </w:r>
      <w:r w:rsidR="009858FB" w:rsidRPr="00F868F4">
        <w:rPr>
          <w:sz w:val="28"/>
          <w:szCs w:val="28"/>
        </w:rPr>
        <w:t xml:space="preserve">indispensable que, por única ocasión, </w:t>
      </w:r>
      <w:r w:rsidR="00BA1CDF" w:rsidRPr="00F868F4">
        <w:rPr>
          <w:sz w:val="28"/>
          <w:szCs w:val="28"/>
        </w:rPr>
        <w:t>el mandato de la Gubernatura tenga una duración menor</w:t>
      </w:r>
      <w:r w:rsidR="00ED3937" w:rsidRPr="00F868F4">
        <w:rPr>
          <w:rStyle w:val="Refdenotaalpie"/>
          <w:sz w:val="28"/>
          <w:szCs w:val="28"/>
        </w:rPr>
        <w:footnoteReference w:id="8"/>
      </w:r>
      <w:r w:rsidR="00BA1CDF" w:rsidRPr="00F868F4">
        <w:rPr>
          <w:sz w:val="28"/>
          <w:szCs w:val="28"/>
        </w:rPr>
        <w:t xml:space="preserve"> </w:t>
      </w:r>
      <w:r w:rsidR="00BA1CDF" w:rsidRPr="00F868F4">
        <w:rPr>
          <w:sz w:val="28"/>
          <w:szCs w:val="28"/>
        </w:rPr>
        <w:lastRenderedPageBreak/>
        <w:t>al periodo ordinario de seis años que establece la Constitución local</w:t>
      </w:r>
      <w:r w:rsidR="00BA1CDF" w:rsidRPr="00F868F4">
        <w:rPr>
          <w:rStyle w:val="Refdenotaalpie"/>
          <w:sz w:val="28"/>
          <w:szCs w:val="28"/>
        </w:rPr>
        <w:footnoteReference w:id="9"/>
      </w:r>
      <w:r w:rsidR="00BA1CDF" w:rsidRPr="00F868F4">
        <w:rPr>
          <w:sz w:val="28"/>
          <w:szCs w:val="28"/>
        </w:rPr>
        <w:t>.</w:t>
      </w:r>
      <w:r w:rsidR="00C17699" w:rsidRPr="00F868F4">
        <w:rPr>
          <w:sz w:val="28"/>
          <w:szCs w:val="28"/>
        </w:rPr>
        <w:t xml:space="preserve"> </w:t>
      </w:r>
      <w:r w:rsidR="00A11C30" w:rsidRPr="00F868F4">
        <w:rPr>
          <w:sz w:val="28"/>
          <w:szCs w:val="28"/>
        </w:rPr>
        <w:t xml:space="preserve">En ese sentido, </w:t>
      </w:r>
      <w:r w:rsidR="00E60784" w:rsidRPr="00F868F4">
        <w:rPr>
          <w:sz w:val="28"/>
          <w:szCs w:val="28"/>
        </w:rPr>
        <w:t xml:space="preserve">el estudio de regularidad constitucional debe comprender el decreto en su integridad, </w:t>
      </w:r>
      <w:r w:rsidR="00853118" w:rsidRPr="00F868F4">
        <w:rPr>
          <w:sz w:val="28"/>
          <w:szCs w:val="28"/>
        </w:rPr>
        <w:t>ya que</w:t>
      </w:r>
      <w:r w:rsidR="00642F4D" w:rsidRPr="00F868F4">
        <w:rPr>
          <w:sz w:val="28"/>
          <w:szCs w:val="28"/>
        </w:rPr>
        <w:t xml:space="preserve"> de resolver la invalidez del artículo cuarto transitorio no tendría sentido que se mantuviera </w:t>
      </w:r>
      <w:r w:rsidR="00043755" w:rsidRPr="00F868F4">
        <w:rPr>
          <w:sz w:val="28"/>
          <w:szCs w:val="28"/>
        </w:rPr>
        <w:t xml:space="preserve">la exigencia de </w:t>
      </w:r>
      <w:r w:rsidR="0074694F" w:rsidRPr="00F868F4">
        <w:rPr>
          <w:sz w:val="28"/>
          <w:szCs w:val="28"/>
        </w:rPr>
        <w:t xml:space="preserve">concurrencia de las elecciones locales con las federales, </w:t>
      </w:r>
      <w:r w:rsidR="00853118" w:rsidRPr="00F868F4">
        <w:rPr>
          <w:sz w:val="28"/>
          <w:szCs w:val="28"/>
        </w:rPr>
        <w:t>pues</w:t>
      </w:r>
      <w:r w:rsidR="00937FB2" w:rsidRPr="00F868F4">
        <w:rPr>
          <w:sz w:val="28"/>
          <w:szCs w:val="28"/>
        </w:rPr>
        <w:t xml:space="preserve"> sería inviable</w:t>
      </w:r>
      <w:r w:rsidR="006F0DFF" w:rsidRPr="00F868F4">
        <w:rPr>
          <w:sz w:val="28"/>
          <w:szCs w:val="28"/>
        </w:rPr>
        <w:t xml:space="preserve"> su </w:t>
      </w:r>
      <w:r w:rsidR="00C17699" w:rsidRPr="00F868F4">
        <w:rPr>
          <w:sz w:val="28"/>
          <w:szCs w:val="28"/>
        </w:rPr>
        <w:t>implementación</w:t>
      </w:r>
      <w:r w:rsidR="006F0DFF" w:rsidRPr="00F868F4">
        <w:rPr>
          <w:sz w:val="28"/>
          <w:szCs w:val="28"/>
        </w:rPr>
        <w:t xml:space="preserve"> efectiva.</w:t>
      </w:r>
    </w:p>
    <w:p w14:paraId="29130FB4" w14:textId="3D40EEA7" w:rsidR="00C17699" w:rsidRPr="00F868F4" w:rsidRDefault="00853118" w:rsidP="007E19F2">
      <w:pPr>
        <w:pStyle w:val="Prrafo"/>
        <w:numPr>
          <w:ilvl w:val="0"/>
          <w:numId w:val="1"/>
        </w:numPr>
        <w:ind w:left="0" w:hanging="567"/>
        <w:rPr>
          <w:sz w:val="28"/>
          <w:szCs w:val="28"/>
        </w:rPr>
      </w:pPr>
      <w:r w:rsidRPr="00F868F4">
        <w:rPr>
          <w:sz w:val="28"/>
          <w:szCs w:val="28"/>
        </w:rPr>
        <w:t xml:space="preserve">Por las razones desarrolladas, </w:t>
      </w:r>
      <w:r w:rsidRPr="00F868F4">
        <w:rPr>
          <w:b/>
          <w:bCs/>
          <w:sz w:val="28"/>
          <w:szCs w:val="28"/>
        </w:rPr>
        <w:t>se tiene como norma impugnada el Decreto núm. 1624</w:t>
      </w:r>
      <w:r w:rsidR="00030801" w:rsidRPr="00F868F4">
        <w:rPr>
          <w:sz w:val="28"/>
          <w:szCs w:val="28"/>
        </w:rPr>
        <w:t xml:space="preserve"> en su </w:t>
      </w:r>
      <w:r w:rsidR="009A74D4" w:rsidRPr="00F868F4">
        <w:rPr>
          <w:sz w:val="28"/>
          <w:szCs w:val="28"/>
        </w:rPr>
        <w:t>integridad</w:t>
      </w:r>
      <w:r w:rsidR="00030801" w:rsidRPr="00F868F4">
        <w:rPr>
          <w:sz w:val="28"/>
          <w:szCs w:val="28"/>
        </w:rPr>
        <w:t>.</w:t>
      </w:r>
    </w:p>
    <w:p w14:paraId="098C52FE" w14:textId="3EFEB5F2" w:rsidR="007E19F2" w:rsidRPr="00F868F4" w:rsidRDefault="00AC0C5A" w:rsidP="00F26206">
      <w:pPr>
        <w:pStyle w:val="Prrafo"/>
        <w:numPr>
          <w:ilvl w:val="0"/>
          <w:numId w:val="1"/>
        </w:numPr>
        <w:ind w:left="0" w:hanging="567"/>
        <w:rPr>
          <w:sz w:val="28"/>
          <w:szCs w:val="28"/>
        </w:rPr>
      </w:pPr>
      <w:r w:rsidRPr="00F868F4">
        <w:rPr>
          <w:sz w:val="28"/>
          <w:szCs w:val="28"/>
        </w:rPr>
        <w:t xml:space="preserve">Como presupuesto para el estudio de los requisitos procedimentales de </w:t>
      </w:r>
      <w:r w:rsidR="008A6DD9" w:rsidRPr="00F868F4">
        <w:rPr>
          <w:sz w:val="28"/>
          <w:szCs w:val="28"/>
        </w:rPr>
        <w:t>esta</w:t>
      </w:r>
      <w:r w:rsidRPr="00F868F4">
        <w:rPr>
          <w:sz w:val="28"/>
          <w:szCs w:val="28"/>
        </w:rPr>
        <w:t xml:space="preserve"> acción de inconstitucionalidad, </w:t>
      </w:r>
      <w:r w:rsidR="002C7285" w:rsidRPr="00F868F4">
        <w:rPr>
          <w:sz w:val="28"/>
          <w:szCs w:val="28"/>
        </w:rPr>
        <w:t xml:space="preserve">cabe precisar que </w:t>
      </w:r>
      <w:r w:rsidR="002C7285" w:rsidRPr="00F868F4">
        <w:rPr>
          <w:b/>
          <w:bCs/>
          <w:sz w:val="28"/>
          <w:szCs w:val="28"/>
        </w:rPr>
        <w:t xml:space="preserve">el </w:t>
      </w:r>
      <w:r w:rsidR="00835B0B" w:rsidRPr="00F868F4">
        <w:rPr>
          <w:b/>
          <w:bCs/>
          <w:sz w:val="28"/>
          <w:szCs w:val="28"/>
        </w:rPr>
        <w:t xml:space="preserve">decreto impugnado </w:t>
      </w:r>
      <w:r w:rsidR="0067610F" w:rsidRPr="00F868F4">
        <w:rPr>
          <w:b/>
          <w:bCs/>
          <w:sz w:val="28"/>
          <w:szCs w:val="28"/>
        </w:rPr>
        <w:t>tiene claramente el carácter de una norma general en materia electoral</w:t>
      </w:r>
      <w:r w:rsidR="007C3BDF" w:rsidRPr="00F868F4">
        <w:rPr>
          <w:sz w:val="28"/>
          <w:szCs w:val="28"/>
        </w:rPr>
        <w:t xml:space="preserve">, porque </w:t>
      </w:r>
      <w:r w:rsidR="00AB634D" w:rsidRPr="00F868F4">
        <w:rPr>
          <w:sz w:val="28"/>
          <w:szCs w:val="28"/>
        </w:rPr>
        <w:t xml:space="preserve">regula </w:t>
      </w:r>
      <w:r w:rsidR="00172486" w:rsidRPr="00F868F4">
        <w:rPr>
          <w:sz w:val="28"/>
          <w:szCs w:val="28"/>
        </w:rPr>
        <w:t>un elemento fundamental para la</w:t>
      </w:r>
      <w:r w:rsidR="00784D2D" w:rsidRPr="00F868F4">
        <w:rPr>
          <w:sz w:val="28"/>
          <w:szCs w:val="28"/>
        </w:rPr>
        <w:t xml:space="preserve"> adecuada</w:t>
      </w:r>
      <w:r w:rsidR="00214A03" w:rsidRPr="00F868F4">
        <w:rPr>
          <w:sz w:val="28"/>
          <w:szCs w:val="28"/>
        </w:rPr>
        <w:t xml:space="preserve"> </w:t>
      </w:r>
      <w:r w:rsidR="00172486" w:rsidRPr="00F868F4">
        <w:rPr>
          <w:sz w:val="28"/>
          <w:szCs w:val="28"/>
        </w:rPr>
        <w:t>organización de las elecciones</w:t>
      </w:r>
      <w:r w:rsidR="00214A03" w:rsidRPr="00F868F4">
        <w:rPr>
          <w:sz w:val="28"/>
          <w:szCs w:val="28"/>
        </w:rPr>
        <w:t xml:space="preserve">, como lo es </w:t>
      </w:r>
      <w:r w:rsidR="00F0416E" w:rsidRPr="00F868F4">
        <w:rPr>
          <w:sz w:val="28"/>
          <w:szCs w:val="28"/>
        </w:rPr>
        <w:t>la</w:t>
      </w:r>
      <w:r w:rsidR="00214A03" w:rsidRPr="00F868F4">
        <w:rPr>
          <w:sz w:val="28"/>
          <w:szCs w:val="28"/>
        </w:rPr>
        <w:t xml:space="preserve"> periodicidad </w:t>
      </w:r>
      <w:r w:rsidR="00296D79" w:rsidRPr="00F868F4">
        <w:rPr>
          <w:sz w:val="28"/>
          <w:szCs w:val="28"/>
        </w:rPr>
        <w:t>en que</w:t>
      </w:r>
      <w:r w:rsidR="00B12787" w:rsidRPr="00F868F4">
        <w:rPr>
          <w:sz w:val="28"/>
          <w:szCs w:val="28"/>
        </w:rPr>
        <w:t xml:space="preserve"> estas</w:t>
      </w:r>
      <w:r w:rsidR="00296D79" w:rsidRPr="00F868F4">
        <w:rPr>
          <w:sz w:val="28"/>
          <w:szCs w:val="28"/>
        </w:rPr>
        <w:t xml:space="preserve"> habrán de celebrarse para </w:t>
      </w:r>
      <w:r w:rsidR="00B11269" w:rsidRPr="00F868F4">
        <w:rPr>
          <w:sz w:val="28"/>
          <w:szCs w:val="28"/>
        </w:rPr>
        <w:t>renovar</w:t>
      </w:r>
      <w:r w:rsidR="00296D79" w:rsidRPr="00F868F4">
        <w:rPr>
          <w:sz w:val="28"/>
          <w:szCs w:val="28"/>
        </w:rPr>
        <w:t xml:space="preserve"> los distintos cargos de elección popular</w:t>
      </w:r>
      <w:r w:rsidR="0088308E" w:rsidRPr="00F868F4">
        <w:rPr>
          <w:sz w:val="28"/>
          <w:szCs w:val="28"/>
        </w:rPr>
        <w:t xml:space="preserve">, en función </w:t>
      </w:r>
      <w:r w:rsidR="000070FE" w:rsidRPr="00F868F4">
        <w:rPr>
          <w:sz w:val="28"/>
          <w:szCs w:val="28"/>
        </w:rPr>
        <w:t>de la duración del mandato</w:t>
      </w:r>
      <w:r w:rsidR="0088308E" w:rsidRPr="00F868F4">
        <w:rPr>
          <w:sz w:val="28"/>
          <w:szCs w:val="28"/>
        </w:rPr>
        <w:t xml:space="preserve"> </w:t>
      </w:r>
      <w:r w:rsidR="000070FE" w:rsidRPr="00F868F4">
        <w:rPr>
          <w:sz w:val="28"/>
          <w:szCs w:val="28"/>
        </w:rPr>
        <w:t>que dispone</w:t>
      </w:r>
      <w:r w:rsidR="008A6DD9" w:rsidRPr="00F868F4">
        <w:rPr>
          <w:sz w:val="28"/>
          <w:szCs w:val="28"/>
        </w:rPr>
        <w:t xml:space="preserve"> la normativa aplicable</w:t>
      </w:r>
      <w:r w:rsidR="00B532B6" w:rsidRPr="00F868F4">
        <w:rPr>
          <w:rStyle w:val="Refdenotaalpie"/>
          <w:sz w:val="28"/>
          <w:szCs w:val="28"/>
        </w:rPr>
        <w:footnoteReference w:id="10"/>
      </w:r>
      <w:r w:rsidR="00296D79" w:rsidRPr="00F868F4">
        <w:rPr>
          <w:sz w:val="28"/>
          <w:szCs w:val="28"/>
        </w:rPr>
        <w:t>.</w:t>
      </w:r>
      <w:r w:rsidR="003501BB" w:rsidRPr="00F868F4">
        <w:rPr>
          <w:sz w:val="28"/>
          <w:szCs w:val="28"/>
        </w:rPr>
        <w:t xml:space="preserve"> </w:t>
      </w:r>
      <w:r w:rsidR="00454E88" w:rsidRPr="00F868F4">
        <w:rPr>
          <w:sz w:val="28"/>
          <w:szCs w:val="28"/>
        </w:rPr>
        <w:t xml:space="preserve">Ello se </w:t>
      </w:r>
      <w:r w:rsidR="007D6D56" w:rsidRPr="00F868F4">
        <w:rPr>
          <w:sz w:val="28"/>
          <w:szCs w:val="28"/>
        </w:rPr>
        <w:t xml:space="preserve">constata si se toma en cuenta que </w:t>
      </w:r>
      <w:r w:rsidR="000070FE" w:rsidRPr="00F868F4">
        <w:rPr>
          <w:sz w:val="28"/>
          <w:szCs w:val="28"/>
        </w:rPr>
        <w:t>el precepto modificado</w:t>
      </w:r>
      <w:r w:rsidR="006642DE" w:rsidRPr="00F868F4">
        <w:rPr>
          <w:sz w:val="28"/>
          <w:szCs w:val="28"/>
        </w:rPr>
        <w:t xml:space="preserve"> forma parte del artículo 25, ubicado en el Título Segundo de la Constitución </w:t>
      </w:r>
      <w:r w:rsidR="00C75580" w:rsidRPr="00F868F4">
        <w:rPr>
          <w:sz w:val="28"/>
          <w:szCs w:val="28"/>
        </w:rPr>
        <w:t>Política del estado</w:t>
      </w:r>
      <w:r w:rsidR="006642DE" w:rsidRPr="00F868F4">
        <w:rPr>
          <w:sz w:val="28"/>
          <w:szCs w:val="28"/>
        </w:rPr>
        <w:t xml:space="preserve">, </w:t>
      </w:r>
      <w:r w:rsidR="00416566" w:rsidRPr="00F868F4">
        <w:rPr>
          <w:sz w:val="28"/>
          <w:szCs w:val="28"/>
        </w:rPr>
        <w:t>el cual se denomina</w:t>
      </w:r>
      <w:r w:rsidR="00D34CF6" w:rsidRPr="00F868F4">
        <w:rPr>
          <w:sz w:val="28"/>
          <w:szCs w:val="28"/>
        </w:rPr>
        <w:t>:</w:t>
      </w:r>
      <w:r w:rsidR="006642DE" w:rsidRPr="00F868F4">
        <w:rPr>
          <w:i/>
          <w:iCs/>
          <w:sz w:val="28"/>
          <w:szCs w:val="28"/>
        </w:rPr>
        <w:t xml:space="preserve"> “</w:t>
      </w:r>
      <w:r w:rsidR="008A3A0E" w:rsidRPr="00F868F4">
        <w:rPr>
          <w:i/>
          <w:iCs/>
          <w:sz w:val="28"/>
          <w:szCs w:val="28"/>
        </w:rPr>
        <w:t>De los Ciudadanos, de las Elecciones, de los Partidos Políticos, de los Mecanismos de la Participación Ciudadana, de los Medios de Impugnación y de los Candidatos Independientes</w:t>
      </w:r>
      <w:r w:rsidR="006642DE" w:rsidRPr="00F868F4">
        <w:rPr>
          <w:i/>
          <w:iCs/>
          <w:sz w:val="28"/>
          <w:szCs w:val="28"/>
        </w:rPr>
        <w:t>”</w:t>
      </w:r>
      <w:r w:rsidR="006642DE" w:rsidRPr="00F868F4">
        <w:rPr>
          <w:sz w:val="28"/>
          <w:szCs w:val="28"/>
        </w:rPr>
        <w:t>.</w:t>
      </w:r>
    </w:p>
    <w:bookmarkEnd w:id="2"/>
    <w:p w14:paraId="00BE0D13" w14:textId="77777777" w:rsidR="00C27AAE" w:rsidRPr="00F868F4" w:rsidRDefault="00C27AAE" w:rsidP="00562FA9">
      <w:pPr>
        <w:pStyle w:val="Ttulo1"/>
        <w:keepNext/>
      </w:pPr>
      <w:r w:rsidRPr="00F868F4">
        <w:lastRenderedPageBreak/>
        <w:t>III. OPORTUNIDAD</w:t>
      </w:r>
    </w:p>
    <w:p w14:paraId="408C690A" w14:textId="07B82E27" w:rsidR="000101B7" w:rsidRPr="00F868F4" w:rsidRDefault="000101B7" w:rsidP="00563821">
      <w:pPr>
        <w:pStyle w:val="Prrafo"/>
        <w:numPr>
          <w:ilvl w:val="0"/>
          <w:numId w:val="1"/>
        </w:numPr>
        <w:ind w:left="0" w:hanging="567"/>
        <w:rPr>
          <w:sz w:val="28"/>
          <w:szCs w:val="28"/>
        </w:rPr>
      </w:pPr>
      <w:bookmarkStart w:id="3" w:name="_Hlk45890931"/>
      <w:r w:rsidRPr="00F868F4">
        <w:rPr>
          <w:sz w:val="28"/>
          <w:szCs w:val="28"/>
        </w:rPr>
        <w:t xml:space="preserve">El </w:t>
      </w:r>
      <w:r w:rsidR="00563821" w:rsidRPr="00F868F4">
        <w:rPr>
          <w:sz w:val="28"/>
          <w:szCs w:val="28"/>
        </w:rPr>
        <w:t>artículo 60</w:t>
      </w:r>
      <w:r w:rsidR="00563821" w:rsidRPr="00F868F4">
        <w:rPr>
          <w:sz w:val="28"/>
          <w:szCs w:val="28"/>
          <w:vertAlign w:val="superscript"/>
        </w:rPr>
        <w:footnoteReference w:id="11"/>
      </w:r>
      <w:r w:rsidR="00563821" w:rsidRPr="00F868F4">
        <w:rPr>
          <w:sz w:val="28"/>
          <w:szCs w:val="28"/>
        </w:rPr>
        <w:t xml:space="preserve"> de la Ley Reglamentaria de las Fracciones I y II del Artículo 105 de la Constitución Política de los Estados Unidos Mexicanos</w:t>
      </w:r>
      <w:r w:rsidR="00563821" w:rsidRPr="00F868F4">
        <w:rPr>
          <w:rStyle w:val="Refdenotaalpie"/>
          <w:sz w:val="28"/>
          <w:szCs w:val="28"/>
        </w:rPr>
        <w:footnoteReference w:id="12"/>
      </w:r>
      <w:r w:rsidR="00563821" w:rsidRPr="00F868F4">
        <w:rPr>
          <w:sz w:val="28"/>
          <w:szCs w:val="28"/>
        </w:rPr>
        <w:t xml:space="preserve"> dispone que </w:t>
      </w:r>
      <w:r w:rsidRPr="00F868F4">
        <w:rPr>
          <w:sz w:val="28"/>
          <w:szCs w:val="28"/>
        </w:rPr>
        <w:t>el plazo para promover la acción de inconstitucionalidad es de treinta días naturales</w:t>
      </w:r>
      <w:r w:rsidR="006D685D" w:rsidRPr="00F868F4">
        <w:rPr>
          <w:sz w:val="28"/>
          <w:szCs w:val="28"/>
        </w:rPr>
        <w:t>,</w:t>
      </w:r>
      <w:r w:rsidRPr="00F868F4">
        <w:rPr>
          <w:sz w:val="28"/>
          <w:szCs w:val="28"/>
        </w:rPr>
        <w:t xml:space="preserve"> que su cómputo inicia a partir del día siguiente a la fecha en la que la norma general sea publicada en el correspondiente medio oficial</w:t>
      </w:r>
      <w:r w:rsidR="000F3182" w:rsidRPr="00F868F4">
        <w:rPr>
          <w:sz w:val="28"/>
          <w:szCs w:val="28"/>
        </w:rPr>
        <w:t xml:space="preserve"> y que, en materia electoral, </w:t>
      </w:r>
      <w:r w:rsidR="00AB2CDE" w:rsidRPr="00F868F4">
        <w:rPr>
          <w:sz w:val="28"/>
          <w:szCs w:val="28"/>
        </w:rPr>
        <w:t>para el cómputo de los plazos todos los días son hábiles</w:t>
      </w:r>
      <w:r w:rsidRPr="00F868F4">
        <w:rPr>
          <w:sz w:val="28"/>
          <w:szCs w:val="28"/>
        </w:rPr>
        <w:t>.</w:t>
      </w:r>
    </w:p>
    <w:p w14:paraId="41C3EA99" w14:textId="5AECFA2B" w:rsidR="001804D2" w:rsidRPr="00F868F4" w:rsidRDefault="001804D2" w:rsidP="00563821">
      <w:pPr>
        <w:pStyle w:val="Prrafo"/>
        <w:numPr>
          <w:ilvl w:val="0"/>
          <w:numId w:val="1"/>
        </w:numPr>
        <w:ind w:left="0" w:hanging="567"/>
        <w:rPr>
          <w:sz w:val="28"/>
          <w:szCs w:val="28"/>
        </w:rPr>
      </w:pPr>
      <w:r w:rsidRPr="00F868F4">
        <w:rPr>
          <w:sz w:val="28"/>
          <w:szCs w:val="28"/>
        </w:rPr>
        <w:t>El Decreto núm. 1624, mediante el cual se reformó la fracción I de la base A del artículo 25 de la Constitución local, se publicó en el Periódico Oficial del Estado de Oaxaca</w:t>
      </w:r>
      <w:r w:rsidR="00EE1E4A" w:rsidRPr="00F868F4">
        <w:rPr>
          <w:sz w:val="28"/>
          <w:szCs w:val="28"/>
        </w:rPr>
        <w:t xml:space="preserve"> el treinta de diciembre de dos mil veintitrés</w:t>
      </w:r>
      <w:r w:rsidR="001D0A8C" w:rsidRPr="00F868F4">
        <w:rPr>
          <w:rStyle w:val="Refdenotaalpie"/>
          <w:sz w:val="28"/>
          <w:szCs w:val="28"/>
        </w:rPr>
        <w:footnoteReference w:id="13"/>
      </w:r>
      <w:r w:rsidR="00EE1E4A" w:rsidRPr="00F868F4">
        <w:rPr>
          <w:sz w:val="28"/>
          <w:szCs w:val="28"/>
        </w:rPr>
        <w:t>.</w:t>
      </w:r>
      <w:r w:rsidR="00DA1899" w:rsidRPr="00F868F4">
        <w:rPr>
          <w:sz w:val="28"/>
          <w:szCs w:val="28"/>
        </w:rPr>
        <w:t xml:space="preserve"> Así, en tanto todos los días deben considerarse como hábiles porque se cuestionan disposiciones en materia electoral, el plazo para promover la acción de inconstitucionalidad transcurrió </w:t>
      </w:r>
      <w:r w:rsidR="00DA1899" w:rsidRPr="00F868F4">
        <w:rPr>
          <w:b/>
          <w:bCs/>
          <w:sz w:val="28"/>
          <w:szCs w:val="28"/>
        </w:rPr>
        <w:t xml:space="preserve">del domingo treinta y uno de diciembre de dos mil veintitrés al </w:t>
      </w:r>
      <w:r w:rsidR="00963BE5" w:rsidRPr="00F868F4">
        <w:rPr>
          <w:b/>
          <w:bCs/>
          <w:sz w:val="28"/>
          <w:szCs w:val="28"/>
        </w:rPr>
        <w:t>lunes veintinueve de enero de dos mil veinticuatro</w:t>
      </w:r>
      <w:r w:rsidR="00963BE5" w:rsidRPr="00F868F4">
        <w:rPr>
          <w:sz w:val="28"/>
          <w:szCs w:val="28"/>
        </w:rPr>
        <w:t>.</w:t>
      </w:r>
    </w:p>
    <w:p w14:paraId="213A82C3" w14:textId="295BC617" w:rsidR="00AD7E7A" w:rsidRPr="00AD7E7A" w:rsidRDefault="00DF1B98" w:rsidP="00AD7E7A">
      <w:pPr>
        <w:pStyle w:val="Prrafo"/>
        <w:numPr>
          <w:ilvl w:val="0"/>
          <w:numId w:val="1"/>
        </w:numPr>
        <w:ind w:left="0" w:hanging="567"/>
        <w:rPr>
          <w:sz w:val="28"/>
          <w:szCs w:val="28"/>
        </w:rPr>
      </w:pPr>
      <w:r w:rsidRPr="00F868F4">
        <w:rPr>
          <w:sz w:val="28"/>
          <w:szCs w:val="28"/>
        </w:rPr>
        <w:t xml:space="preserve">Si </w:t>
      </w:r>
      <w:r w:rsidR="00A05AE5" w:rsidRPr="00F868F4">
        <w:rPr>
          <w:sz w:val="28"/>
          <w:szCs w:val="28"/>
        </w:rPr>
        <w:t>la demanda se recibió en el Buzón Judicial de la Oficina de Certificación Judicial y Correspondencia de esta Suprema Corte</w:t>
      </w:r>
      <w:r w:rsidR="00A05AE5" w:rsidRPr="00F868F4">
        <w:rPr>
          <w:rStyle w:val="Refdenotaalpie"/>
          <w:sz w:val="28"/>
          <w:szCs w:val="28"/>
        </w:rPr>
        <w:footnoteReference w:id="14"/>
      </w:r>
      <w:r w:rsidR="00B34766" w:rsidRPr="00F868F4">
        <w:rPr>
          <w:sz w:val="28"/>
          <w:szCs w:val="28"/>
        </w:rPr>
        <w:t xml:space="preserve"> el último de los días señalados</w:t>
      </w:r>
      <w:r w:rsidR="00A05AE5" w:rsidRPr="00F868F4">
        <w:rPr>
          <w:sz w:val="28"/>
          <w:szCs w:val="28"/>
        </w:rPr>
        <w:t xml:space="preserve">, se concluye que la acción de inconstitucionalidad se promovió </w:t>
      </w:r>
      <w:r w:rsidR="00A05AE5" w:rsidRPr="00F868F4">
        <w:rPr>
          <w:sz w:val="28"/>
          <w:szCs w:val="28"/>
        </w:rPr>
        <w:lastRenderedPageBreak/>
        <w:t>oportunamente.</w:t>
      </w:r>
      <w:r w:rsidR="0053283B" w:rsidRPr="00F868F4">
        <w:rPr>
          <w:sz w:val="28"/>
          <w:szCs w:val="28"/>
        </w:rPr>
        <w:t xml:space="preserve"> </w:t>
      </w:r>
      <w:r w:rsidR="00A019AC" w:rsidRPr="00F868F4">
        <w:rPr>
          <w:sz w:val="28"/>
          <w:szCs w:val="28"/>
        </w:rPr>
        <w:t>Esta</w:t>
      </w:r>
      <w:r w:rsidR="00DE36A0" w:rsidRPr="00F868F4">
        <w:rPr>
          <w:sz w:val="28"/>
          <w:szCs w:val="28"/>
        </w:rPr>
        <w:t xml:space="preserve"> </w:t>
      </w:r>
      <w:r w:rsidR="00EB2B81" w:rsidRPr="00F868F4">
        <w:rPr>
          <w:sz w:val="28"/>
          <w:szCs w:val="28"/>
        </w:rPr>
        <w:t>determinación</w:t>
      </w:r>
      <w:r w:rsidR="00DE36A0" w:rsidRPr="00F868F4">
        <w:rPr>
          <w:sz w:val="28"/>
          <w:szCs w:val="28"/>
        </w:rPr>
        <w:t xml:space="preserve"> no se</w:t>
      </w:r>
      <w:r w:rsidR="00A019AC" w:rsidRPr="00F868F4">
        <w:rPr>
          <w:sz w:val="28"/>
          <w:szCs w:val="28"/>
        </w:rPr>
        <w:t xml:space="preserve"> ve</w:t>
      </w:r>
      <w:r w:rsidR="00DE36A0" w:rsidRPr="00F868F4">
        <w:rPr>
          <w:sz w:val="28"/>
          <w:szCs w:val="28"/>
        </w:rPr>
        <w:t xml:space="preserve"> </w:t>
      </w:r>
      <w:r w:rsidR="00A019AC" w:rsidRPr="00F868F4">
        <w:rPr>
          <w:sz w:val="28"/>
          <w:szCs w:val="28"/>
        </w:rPr>
        <w:t>afectada</w:t>
      </w:r>
      <w:r w:rsidR="00DE36A0" w:rsidRPr="00F868F4">
        <w:rPr>
          <w:sz w:val="28"/>
          <w:szCs w:val="28"/>
        </w:rPr>
        <w:t xml:space="preserve"> por la circunstancia de que el decreto impugnado </w:t>
      </w:r>
      <w:r w:rsidR="00946E39" w:rsidRPr="00F868F4">
        <w:rPr>
          <w:sz w:val="28"/>
          <w:szCs w:val="28"/>
        </w:rPr>
        <w:t>entrará en vigor hasta el primero de enero del año dos mil veinticinco,</w:t>
      </w:r>
      <w:r w:rsidR="00FE37B3" w:rsidRPr="00F868F4">
        <w:rPr>
          <w:sz w:val="28"/>
          <w:szCs w:val="28"/>
        </w:rPr>
        <w:t xml:space="preserve"> en términos de su artículo segundo transitorio,</w:t>
      </w:r>
      <w:r w:rsidR="00946E39" w:rsidRPr="00F868F4">
        <w:rPr>
          <w:sz w:val="28"/>
          <w:szCs w:val="28"/>
        </w:rPr>
        <w:t xml:space="preserve"> </w:t>
      </w:r>
      <w:r w:rsidR="004317AB" w:rsidRPr="00F868F4">
        <w:rPr>
          <w:sz w:val="28"/>
          <w:szCs w:val="28"/>
        </w:rPr>
        <w:t xml:space="preserve">debido a que el </w:t>
      </w:r>
      <w:r w:rsidR="00612277" w:rsidRPr="00F868F4">
        <w:rPr>
          <w:sz w:val="28"/>
          <w:szCs w:val="28"/>
        </w:rPr>
        <w:t>segundo párrafo de la fracción II del artículo 105 de la Constitución Política del país establece</w:t>
      </w:r>
      <w:r w:rsidR="00C15950" w:rsidRPr="00F868F4">
        <w:rPr>
          <w:sz w:val="28"/>
          <w:szCs w:val="28"/>
        </w:rPr>
        <w:t xml:space="preserve"> con claridad</w:t>
      </w:r>
      <w:r w:rsidR="00612277" w:rsidRPr="00F868F4">
        <w:rPr>
          <w:sz w:val="28"/>
          <w:szCs w:val="28"/>
        </w:rPr>
        <w:t xml:space="preserve"> que este medio de control se puede ejercer</w:t>
      </w:r>
      <w:r w:rsidR="005239B4" w:rsidRPr="00F868F4">
        <w:rPr>
          <w:sz w:val="28"/>
          <w:szCs w:val="28"/>
        </w:rPr>
        <w:t xml:space="preserve"> </w:t>
      </w:r>
      <w:r w:rsidR="00C15950" w:rsidRPr="00F868F4">
        <w:rPr>
          <w:sz w:val="28"/>
          <w:szCs w:val="28"/>
        </w:rPr>
        <w:t xml:space="preserve">dentro de los treinta días naturales siguientes a la </w:t>
      </w:r>
      <w:r w:rsidR="00C15950" w:rsidRPr="00F868F4">
        <w:rPr>
          <w:b/>
          <w:bCs/>
          <w:sz w:val="28"/>
          <w:szCs w:val="28"/>
        </w:rPr>
        <w:t>fecha de publicación de la norma</w:t>
      </w:r>
      <w:r w:rsidR="00C15950" w:rsidRPr="00F868F4">
        <w:rPr>
          <w:sz w:val="28"/>
          <w:szCs w:val="28"/>
        </w:rPr>
        <w:t xml:space="preserve">, </w:t>
      </w:r>
      <w:r w:rsidR="00544CB9" w:rsidRPr="00F868F4">
        <w:rPr>
          <w:sz w:val="28"/>
          <w:szCs w:val="28"/>
        </w:rPr>
        <w:t xml:space="preserve">por lo que el momento en que entra en vigor o cualquier otra </w:t>
      </w:r>
      <w:r w:rsidR="00E63C86" w:rsidRPr="00F868F4">
        <w:rPr>
          <w:sz w:val="28"/>
          <w:szCs w:val="28"/>
        </w:rPr>
        <w:t>circunstancia</w:t>
      </w:r>
      <w:r w:rsidR="00F3625E" w:rsidRPr="00F868F4">
        <w:rPr>
          <w:sz w:val="28"/>
          <w:szCs w:val="28"/>
        </w:rPr>
        <w:t xml:space="preserve"> son irrelevantes para evaluar </w:t>
      </w:r>
      <w:r w:rsidR="000A1EF4" w:rsidRPr="00F868F4">
        <w:rPr>
          <w:sz w:val="28"/>
          <w:szCs w:val="28"/>
        </w:rPr>
        <w:t xml:space="preserve">el </w:t>
      </w:r>
      <w:r w:rsidR="00A019AC" w:rsidRPr="00F868F4">
        <w:rPr>
          <w:sz w:val="28"/>
          <w:szCs w:val="28"/>
        </w:rPr>
        <w:t>cumplimiento de este requisito</w:t>
      </w:r>
      <w:r w:rsidR="00A019AC" w:rsidRPr="00F868F4">
        <w:rPr>
          <w:rStyle w:val="Refdenotaalpie"/>
          <w:sz w:val="28"/>
          <w:szCs w:val="28"/>
        </w:rPr>
        <w:footnoteReference w:id="15"/>
      </w:r>
      <w:r w:rsidR="00F3625E" w:rsidRPr="00F868F4">
        <w:rPr>
          <w:sz w:val="28"/>
          <w:szCs w:val="28"/>
        </w:rPr>
        <w:t>.</w:t>
      </w:r>
    </w:p>
    <w:bookmarkEnd w:id="3"/>
    <w:p w14:paraId="34364CC2" w14:textId="77777777" w:rsidR="00C27AAE" w:rsidRPr="00F868F4" w:rsidRDefault="00C27AAE" w:rsidP="00C27AAE">
      <w:pPr>
        <w:pStyle w:val="Ttulo1"/>
        <w:rPr>
          <w:szCs w:val="28"/>
        </w:rPr>
      </w:pPr>
      <w:r w:rsidRPr="00F868F4">
        <w:rPr>
          <w:szCs w:val="28"/>
        </w:rPr>
        <w:t>IV. LEGITIMACIÓN Y REPRESENTACIÓN</w:t>
      </w:r>
    </w:p>
    <w:p w14:paraId="60E593EB" w14:textId="6B15DA43" w:rsidR="0047261C" w:rsidRPr="00F868F4" w:rsidRDefault="0047261C" w:rsidP="00F15F38">
      <w:pPr>
        <w:pStyle w:val="Prrafo"/>
        <w:numPr>
          <w:ilvl w:val="0"/>
          <w:numId w:val="1"/>
        </w:numPr>
        <w:ind w:left="0" w:hanging="567"/>
        <w:rPr>
          <w:sz w:val="28"/>
          <w:szCs w:val="28"/>
        </w:rPr>
      </w:pPr>
      <w:r w:rsidRPr="00F868F4">
        <w:rPr>
          <w:sz w:val="28"/>
          <w:szCs w:val="28"/>
        </w:rPr>
        <w:t>De conformidad con el</w:t>
      </w:r>
      <w:r w:rsidR="00F31FB9" w:rsidRPr="00F868F4">
        <w:rPr>
          <w:sz w:val="28"/>
          <w:szCs w:val="28"/>
        </w:rPr>
        <w:t xml:space="preserve"> inciso f) del</w:t>
      </w:r>
      <w:r w:rsidRPr="00F868F4">
        <w:rPr>
          <w:sz w:val="28"/>
          <w:szCs w:val="28"/>
        </w:rPr>
        <w:t xml:space="preserve"> </w:t>
      </w:r>
      <w:r w:rsidR="00486889" w:rsidRPr="00F868F4">
        <w:rPr>
          <w:sz w:val="28"/>
          <w:szCs w:val="28"/>
        </w:rPr>
        <w:t>segundo</w:t>
      </w:r>
      <w:r w:rsidRPr="00F868F4">
        <w:rPr>
          <w:sz w:val="28"/>
          <w:szCs w:val="28"/>
        </w:rPr>
        <w:t xml:space="preserve"> párrafo de la fracción II del artículo 105 de la Constitución Política del país</w:t>
      </w:r>
      <w:r w:rsidR="00F31FB9" w:rsidRPr="00F868F4">
        <w:rPr>
          <w:rStyle w:val="Refdenotaalpie"/>
          <w:sz w:val="28"/>
          <w:szCs w:val="28"/>
        </w:rPr>
        <w:footnoteReference w:id="16"/>
      </w:r>
      <w:r w:rsidRPr="00F868F4">
        <w:rPr>
          <w:sz w:val="28"/>
          <w:szCs w:val="28"/>
        </w:rPr>
        <w:t xml:space="preserve">, </w:t>
      </w:r>
      <w:r w:rsidR="00F31FB9" w:rsidRPr="00F868F4">
        <w:rPr>
          <w:sz w:val="28"/>
          <w:szCs w:val="28"/>
        </w:rPr>
        <w:t xml:space="preserve">los partidos políticos con </w:t>
      </w:r>
      <w:r w:rsidR="00F31FB9" w:rsidRPr="00F868F4">
        <w:rPr>
          <w:sz w:val="28"/>
          <w:szCs w:val="28"/>
        </w:rPr>
        <w:lastRenderedPageBreak/>
        <w:t>registro ante el Instituto Nacional Electoral</w:t>
      </w:r>
      <w:r w:rsidR="00256255" w:rsidRPr="00F868F4">
        <w:rPr>
          <w:sz w:val="28"/>
          <w:szCs w:val="28"/>
        </w:rPr>
        <w:t>, por conducto de sus dirigencias nacionales, están legitimados para ejercer una acción de inconstitucionalidad en contra de leyes electorales federales o locales</w:t>
      </w:r>
      <w:r w:rsidR="009D6F15" w:rsidRPr="00F868F4">
        <w:rPr>
          <w:rStyle w:val="Refdenotaalpie"/>
          <w:sz w:val="28"/>
          <w:szCs w:val="28"/>
        </w:rPr>
        <w:footnoteReference w:id="17"/>
      </w:r>
      <w:r w:rsidR="0090516C" w:rsidRPr="00F868F4">
        <w:rPr>
          <w:sz w:val="28"/>
          <w:szCs w:val="28"/>
        </w:rPr>
        <w:t>.</w:t>
      </w:r>
    </w:p>
    <w:p w14:paraId="6BCBCE29" w14:textId="77777777" w:rsidR="00122140" w:rsidRPr="00F868F4" w:rsidRDefault="007527D5" w:rsidP="00BB1EEB">
      <w:pPr>
        <w:pStyle w:val="Prrafo"/>
        <w:numPr>
          <w:ilvl w:val="0"/>
          <w:numId w:val="1"/>
        </w:numPr>
        <w:ind w:left="0" w:hanging="567"/>
        <w:rPr>
          <w:sz w:val="28"/>
          <w:szCs w:val="28"/>
        </w:rPr>
      </w:pPr>
      <w:r w:rsidRPr="00F868F4">
        <w:rPr>
          <w:sz w:val="28"/>
          <w:szCs w:val="28"/>
        </w:rPr>
        <w:t xml:space="preserve">El PAN </w:t>
      </w:r>
      <w:r w:rsidR="00EE198D" w:rsidRPr="00F868F4">
        <w:rPr>
          <w:sz w:val="28"/>
          <w:szCs w:val="28"/>
        </w:rPr>
        <w:t xml:space="preserve">está registrado ante el Instituto Nacional Electoral como </w:t>
      </w:r>
      <w:r w:rsidRPr="00F868F4">
        <w:rPr>
          <w:sz w:val="28"/>
          <w:szCs w:val="28"/>
        </w:rPr>
        <w:t>un partido</w:t>
      </w:r>
      <w:r w:rsidR="00EE198D" w:rsidRPr="00F868F4">
        <w:rPr>
          <w:sz w:val="28"/>
          <w:szCs w:val="28"/>
        </w:rPr>
        <w:t xml:space="preserve"> político </w:t>
      </w:r>
      <w:r w:rsidR="00AE27B0" w:rsidRPr="00F868F4">
        <w:rPr>
          <w:sz w:val="28"/>
          <w:szCs w:val="28"/>
        </w:rPr>
        <w:t xml:space="preserve">de carácter </w:t>
      </w:r>
      <w:r w:rsidR="00EE198D" w:rsidRPr="00F868F4">
        <w:rPr>
          <w:sz w:val="28"/>
          <w:szCs w:val="28"/>
        </w:rPr>
        <w:t>nacional</w:t>
      </w:r>
      <w:r w:rsidR="00806DC9" w:rsidRPr="00F868F4">
        <w:rPr>
          <w:rStyle w:val="Refdenotaalpie"/>
          <w:sz w:val="28"/>
          <w:szCs w:val="28"/>
        </w:rPr>
        <w:footnoteReference w:id="18"/>
      </w:r>
      <w:r w:rsidR="00F73C5F" w:rsidRPr="00F868F4">
        <w:rPr>
          <w:sz w:val="28"/>
          <w:szCs w:val="28"/>
        </w:rPr>
        <w:t>, además de que su pretensión es cuestionar la constitucionalidad de una</w:t>
      </w:r>
      <w:r w:rsidR="00E25EBE" w:rsidRPr="00F868F4">
        <w:rPr>
          <w:sz w:val="28"/>
          <w:szCs w:val="28"/>
        </w:rPr>
        <w:t xml:space="preserve"> reforma a </w:t>
      </w:r>
      <w:r w:rsidR="000F5990" w:rsidRPr="00F868F4">
        <w:rPr>
          <w:sz w:val="28"/>
          <w:szCs w:val="28"/>
        </w:rPr>
        <w:t>una disposición de la</w:t>
      </w:r>
      <w:r w:rsidRPr="00F868F4">
        <w:rPr>
          <w:sz w:val="28"/>
          <w:szCs w:val="28"/>
        </w:rPr>
        <w:t xml:space="preserve"> Constitución local</w:t>
      </w:r>
      <w:r w:rsidR="000F5990" w:rsidRPr="00F868F4">
        <w:rPr>
          <w:sz w:val="28"/>
          <w:szCs w:val="28"/>
        </w:rPr>
        <w:t xml:space="preserve"> que tiene el carácter de norma general en materia electoral</w:t>
      </w:r>
      <w:r w:rsidR="006522D7" w:rsidRPr="00F868F4">
        <w:rPr>
          <w:sz w:val="28"/>
          <w:szCs w:val="28"/>
        </w:rPr>
        <w:t>.</w:t>
      </w:r>
    </w:p>
    <w:p w14:paraId="760490F8" w14:textId="5DE8276F" w:rsidR="00C27AAE" w:rsidRPr="00F868F4" w:rsidRDefault="002B5063" w:rsidP="00BB1EEB">
      <w:pPr>
        <w:pStyle w:val="Prrafo"/>
        <w:numPr>
          <w:ilvl w:val="0"/>
          <w:numId w:val="1"/>
        </w:numPr>
        <w:ind w:left="0" w:hanging="567"/>
        <w:rPr>
          <w:sz w:val="28"/>
          <w:szCs w:val="28"/>
        </w:rPr>
      </w:pPr>
      <w:r w:rsidRPr="00F868F4">
        <w:rPr>
          <w:sz w:val="28"/>
          <w:szCs w:val="28"/>
        </w:rPr>
        <w:t xml:space="preserve">Asimismo, la acción se promueve por un </w:t>
      </w:r>
      <w:r w:rsidR="00DB2E6E" w:rsidRPr="00F868F4">
        <w:rPr>
          <w:sz w:val="28"/>
          <w:szCs w:val="28"/>
        </w:rPr>
        <w:t xml:space="preserve">dirigente facultado estatutariamente para la representación legal del partido, pues la </w:t>
      </w:r>
      <w:r w:rsidR="003F0562" w:rsidRPr="00F868F4">
        <w:rPr>
          <w:sz w:val="28"/>
          <w:szCs w:val="28"/>
        </w:rPr>
        <w:t xml:space="preserve">demanda está firmada por </w:t>
      </w:r>
      <w:r w:rsidR="00110CEB" w:rsidRPr="00F868F4">
        <w:rPr>
          <w:sz w:val="28"/>
          <w:szCs w:val="28"/>
        </w:rPr>
        <w:t>Marko Antonio Cortés Mendoza, en su carácter de Presidente del Comité Ejecutivo Nacional</w:t>
      </w:r>
      <w:r w:rsidR="00290DE2" w:rsidRPr="00F868F4">
        <w:rPr>
          <w:rStyle w:val="Refdenotaalpie"/>
          <w:sz w:val="28"/>
          <w:szCs w:val="28"/>
        </w:rPr>
        <w:footnoteReference w:id="19"/>
      </w:r>
      <w:r w:rsidR="000E6014" w:rsidRPr="00F868F4">
        <w:rPr>
          <w:sz w:val="28"/>
          <w:szCs w:val="28"/>
        </w:rPr>
        <w:t>.</w:t>
      </w:r>
      <w:r w:rsidR="00456133" w:rsidRPr="00F868F4">
        <w:rPr>
          <w:sz w:val="28"/>
          <w:szCs w:val="28"/>
        </w:rPr>
        <w:t xml:space="preserve"> </w:t>
      </w:r>
      <w:r w:rsidR="006E617E" w:rsidRPr="00F868F4">
        <w:rPr>
          <w:sz w:val="28"/>
          <w:szCs w:val="28"/>
        </w:rPr>
        <w:t>En el artículo 5</w:t>
      </w:r>
      <w:r w:rsidR="003F2A5E" w:rsidRPr="00F868F4">
        <w:rPr>
          <w:sz w:val="28"/>
          <w:szCs w:val="28"/>
        </w:rPr>
        <w:t>4</w:t>
      </w:r>
      <w:r w:rsidR="006E617E" w:rsidRPr="00F868F4">
        <w:rPr>
          <w:sz w:val="28"/>
          <w:szCs w:val="28"/>
        </w:rPr>
        <w:t xml:space="preserve"> de los Estatutos Generales del Partido Acción Nacional</w:t>
      </w:r>
      <w:r w:rsidR="006D5B68" w:rsidRPr="00F868F4">
        <w:rPr>
          <w:rStyle w:val="Refdenotaalpie"/>
          <w:sz w:val="28"/>
          <w:szCs w:val="28"/>
        </w:rPr>
        <w:footnoteReference w:id="20"/>
      </w:r>
      <w:r w:rsidR="006E617E" w:rsidRPr="00F868F4">
        <w:rPr>
          <w:sz w:val="28"/>
          <w:szCs w:val="28"/>
        </w:rPr>
        <w:t xml:space="preserve"> </w:t>
      </w:r>
      <w:r w:rsidR="000B4B08" w:rsidRPr="00F868F4">
        <w:rPr>
          <w:sz w:val="28"/>
          <w:szCs w:val="28"/>
        </w:rPr>
        <w:t xml:space="preserve">se establece que su </w:t>
      </w:r>
      <w:r w:rsidR="000B4B08" w:rsidRPr="00F868F4">
        <w:rPr>
          <w:sz w:val="28"/>
          <w:szCs w:val="28"/>
        </w:rPr>
        <w:lastRenderedPageBreak/>
        <w:t xml:space="preserve">Comité Ejecutivo Nacional </w:t>
      </w:r>
      <w:r w:rsidR="00AF7557" w:rsidRPr="00F868F4">
        <w:rPr>
          <w:sz w:val="28"/>
          <w:szCs w:val="28"/>
        </w:rPr>
        <w:t xml:space="preserve">ejercerá la representación legal del partido, por medio de su </w:t>
      </w:r>
      <w:r w:rsidR="00AF37C6" w:rsidRPr="00F868F4">
        <w:rPr>
          <w:sz w:val="28"/>
          <w:szCs w:val="28"/>
        </w:rPr>
        <w:t>Presidencia</w:t>
      </w:r>
      <w:r w:rsidR="00AF7557" w:rsidRPr="00F868F4">
        <w:rPr>
          <w:sz w:val="28"/>
          <w:szCs w:val="28"/>
        </w:rPr>
        <w:t xml:space="preserve"> o de las personas que se designen para tal efecto. </w:t>
      </w:r>
      <w:r w:rsidR="001C7232" w:rsidRPr="00F868F4">
        <w:rPr>
          <w:sz w:val="28"/>
          <w:szCs w:val="28"/>
        </w:rPr>
        <w:t xml:space="preserve">En consecuencia, quien ocupe la Presidencia gozará de todas las facultades generales y aun las que requieran cláusula especial conforme a la Ley para </w:t>
      </w:r>
      <w:r w:rsidR="00FE08D1" w:rsidRPr="00F868F4">
        <w:rPr>
          <w:bCs/>
          <w:sz w:val="28"/>
          <w:szCs w:val="28"/>
        </w:rPr>
        <w:t>—</w:t>
      </w:r>
      <w:r w:rsidR="001C7232" w:rsidRPr="00F868F4">
        <w:rPr>
          <w:sz w:val="28"/>
          <w:szCs w:val="28"/>
        </w:rPr>
        <w:t>entre otros</w:t>
      </w:r>
      <w:r w:rsidR="00FE08D1" w:rsidRPr="00F868F4">
        <w:rPr>
          <w:bCs/>
          <w:sz w:val="28"/>
          <w:szCs w:val="28"/>
        </w:rPr>
        <w:t>—</w:t>
      </w:r>
      <w:r w:rsidR="001C7232" w:rsidRPr="00F868F4">
        <w:rPr>
          <w:sz w:val="28"/>
          <w:szCs w:val="28"/>
        </w:rPr>
        <w:t xml:space="preserve"> pleitos y cobranzas</w:t>
      </w:r>
      <w:r w:rsidR="006D5B68" w:rsidRPr="00F868F4">
        <w:rPr>
          <w:sz w:val="28"/>
          <w:szCs w:val="28"/>
        </w:rPr>
        <w:t>. Lo anterior se refuerza con lo dispuesto en el artículo 5</w:t>
      </w:r>
      <w:r w:rsidR="00CF1E62" w:rsidRPr="00F868F4">
        <w:rPr>
          <w:sz w:val="28"/>
          <w:szCs w:val="28"/>
        </w:rPr>
        <w:t>8</w:t>
      </w:r>
      <w:r w:rsidR="006D5B68" w:rsidRPr="00F868F4">
        <w:rPr>
          <w:sz w:val="28"/>
          <w:szCs w:val="28"/>
        </w:rPr>
        <w:t>, inciso a), del mencionado ordenamiento</w:t>
      </w:r>
      <w:r w:rsidR="006D5B68" w:rsidRPr="00F868F4">
        <w:rPr>
          <w:rStyle w:val="Refdenotaalpie"/>
          <w:sz w:val="28"/>
          <w:szCs w:val="28"/>
        </w:rPr>
        <w:footnoteReference w:id="21"/>
      </w:r>
      <w:r w:rsidR="006D5B68" w:rsidRPr="00F868F4">
        <w:rPr>
          <w:sz w:val="28"/>
          <w:szCs w:val="28"/>
        </w:rPr>
        <w:t>.</w:t>
      </w:r>
    </w:p>
    <w:p w14:paraId="7047C2EC" w14:textId="6899649F" w:rsidR="00781050" w:rsidRPr="00F868F4" w:rsidRDefault="00115234">
      <w:pPr>
        <w:pStyle w:val="Prrafo"/>
        <w:numPr>
          <w:ilvl w:val="0"/>
          <w:numId w:val="1"/>
        </w:numPr>
        <w:ind w:left="0" w:hanging="567"/>
        <w:rPr>
          <w:sz w:val="28"/>
          <w:szCs w:val="28"/>
        </w:rPr>
      </w:pPr>
      <w:r w:rsidRPr="00F868F4">
        <w:rPr>
          <w:sz w:val="28"/>
          <w:szCs w:val="28"/>
        </w:rPr>
        <w:t>En consecuencia</w:t>
      </w:r>
      <w:r w:rsidR="006356C2" w:rsidRPr="00F868F4">
        <w:rPr>
          <w:sz w:val="28"/>
          <w:szCs w:val="28"/>
        </w:rPr>
        <w:t>,</w:t>
      </w:r>
      <w:r w:rsidR="00D23CF4" w:rsidRPr="00F868F4">
        <w:rPr>
          <w:sz w:val="28"/>
          <w:szCs w:val="28"/>
        </w:rPr>
        <w:t xml:space="preserve"> la acción se promueve por un sujeto legitimado, </w:t>
      </w:r>
      <w:r w:rsidR="00472762" w:rsidRPr="00F868F4">
        <w:rPr>
          <w:sz w:val="28"/>
          <w:szCs w:val="28"/>
        </w:rPr>
        <w:t xml:space="preserve"> </w:t>
      </w:r>
      <w:r w:rsidR="00717B7C" w:rsidRPr="00F868F4">
        <w:rPr>
          <w:sz w:val="28"/>
          <w:szCs w:val="28"/>
        </w:rPr>
        <w:t xml:space="preserve">a través de </w:t>
      </w:r>
      <w:r w:rsidR="00AE3874" w:rsidRPr="00F868F4">
        <w:rPr>
          <w:sz w:val="28"/>
          <w:szCs w:val="28"/>
        </w:rPr>
        <w:t>una persona</w:t>
      </w:r>
      <w:r w:rsidR="001C43A3" w:rsidRPr="00F868F4">
        <w:rPr>
          <w:sz w:val="28"/>
          <w:szCs w:val="28"/>
        </w:rPr>
        <w:t xml:space="preserve"> con atribuciones de representación</w:t>
      </w:r>
      <w:r w:rsidR="006A049D" w:rsidRPr="00F868F4">
        <w:rPr>
          <w:sz w:val="28"/>
          <w:szCs w:val="28"/>
        </w:rPr>
        <w:t>,</w:t>
      </w:r>
      <w:r w:rsidR="001C43A3" w:rsidRPr="00F868F4">
        <w:rPr>
          <w:sz w:val="28"/>
          <w:szCs w:val="28"/>
        </w:rPr>
        <w:t xml:space="preserve"> de conformidad con la normativa</w:t>
      </w:r>
      <w:r w:rsidR="00BF3900" w:rsidRPr="00F868F4">
        <w:rPr>
          <w:sz w:val="28"/>
          <w:szCs w:val="28"/>
        </w:rPr>
        <w:t xml:space="preserve"> partidista</w:t>
      </w:r>
      <w:r w:rsidR="001C43A3" w:rsidRPr="00F868F4">
        <w:rPr>
          <w:sz w:val="28"/>
          <w:szCs w:val="28"/>
        </w:rPr>
        <w:t xml:space="preserve"> aplicable.</w:t>
      </w:r>
    </w:p>
    <w:p w14:paraId="564243D5" w14:textId="50645193" w:rsidR="00825A4E" w:rsidRPr="00F868F4" w:rsidRDefault="008F1619">
      <w:pPr>
        <w:pStyle w:val="Prrafo"/>
        <w:numPr>
          <w:ilvl w:val="0"/>
          <w:numId w:val="1"/>
        </w:numPr>
        <w:ind w:left="0" w:hanging="567"/>
        <w:rPr>
          <w:sz w:val="28"/>
          <w:szCs w:val="28"/>
        </w:rPr>
      </w:pPr>
      <w:r w:rsidRPr="00F868F4">
        <w:rPr>
          <w:sz w:val="28"/>
          <w:szCs w:val="28"/>
        </w:rPr>
        <w:t>Al considerarse satisfechos los requisitos procedimentales</w:t>
      </w:r>
      <w:r w:rsidR="005D4160" w:rsidRPr="00F868F4">
        <w:rPr>
          <w:sz w:val="28"/>
          <w:szCs w:val="28"/>
        </w:rPr>
        <w:t xml:space="preserve"> y </w:t>
      </w:r>
      <w:r w:rsidR="000D5326" w:rsidRPr="00F868F4">
        <w:rPr>
          <w:sz w:val="28"/>
          <w:szCs w:val="28"/>
        </w:rPr>
        <w:t>debido a que</w:t>
      </w:r>
      <w:r w:rsidR="005D4160" w:rsidRPr="00F868F4">
        <w:rPr>
          <w:sz w:val="28"/>
          <w:szCs w:val="28"/>
        </w:rPr>
        <w:t xml:space="preserve"> las autoridades emisoras no plantearon </w:t>
      </w:r>
      <w:r w:rsidR="00B57AAC" w:rsidRPr="00F868F4">
        <w:rPr>
          <w:sz w:val="28"/>
          <w:szCs w:val="28"/>
        </w:rPr>
        <w:t>ninguna</w:t>
      </w:r>
      <w:r w:rsidR="00344B7C" w:rsidRPr="00F868F4">
        <w:rPr>
          <w:sz w:val="28"/>
          <w:szCs w:val="28"/>
        </w:rPr>
        <w:t xml:space="preserve"> causa</w:t>
      </w:r>
      <w:r w:rsidR="005D4160" w:rsidRPr="00F868F4">
        <w:rPr>
          <w:sz w:val="28"/>
          <w:szCs w:val="28"/>
        </w:rPr>
        <w:t xml:space="preserve"> de improcedencia, ni este alto tribunal advierte de oficio </w:t>
      </w:r>
      <w:r w:rsidR="00B57AAC" w:rsidRPr="00F868F4">
        <w:rPr>
          <w:sz w:val="28"/>
          <w:szCs w:val="28"/>
        </w:rPr>
        <w:t>alguna</w:t>
      </w:r>
      <w:r w:rsidR="005D4160" w:rsidRPr="00F868F4">
        <w:rPr>
          <w:sz w:val="28"/>
          <w:szCs w:val="28"/>
        </w:rPr>
        <w:t xml:space="preserve"> cuestión adicional que deba ser valorada</w:t>
      </w:r>
      <w:r w:rsidR="00344B7C" w:rsidRPr="00F868F4">
        <w:rPr>
          <w:sz w:val="28"/>
          <w:szCs w:val="28"/>
        </w:rPr>
        <w:t xml:space="preserve"> previamente</w:t>
      </w:r>
      <w:r w:rsidR="006F4351" w:rsidRPr="00F868F4">
        <w:rPr>
          <w:sz w:val="28"/>
          <w:szCs w:val="28"/>
        </w:rPr>
        <w:t>, se continuará con el estudio de fondo.</w:t>
      </w:r>
    </w:p>
    <w:p w14:paraId="471B27C7" w14:textId="32FF1203" w:rsidR="00C27AAE" w:rsidRPr="00F868F4" w:rsidRDefault="00C27AAE" w:rsidP="006F4351">
      <w:pPr>
        <w:pStyle w:val="Ttulo1"/>
      </w:pPr>
      <w:r w:rsidRPr="00F868F4">
        <w:rPr>
          <w:szCs w:val="28"/>
        </w:rPr>
        <w:t xml:space="preserve">V. </w:t>
      </w:r>
      <w:r w:rsidRPr="00F868F4">
        <w:t>ESTUDIO DE FONDO</w:t>
      </w:r>
    </w:p>
    <w:p w14:paraId="481FF76B" w14:textId="096DFDEF" w:rsidR="002B45D0" w:rsidRPr="00F868F4" w:rsidRDefault="00B466EF" w:rsidP="00C27AAE">
      <w:pPr>
        <w:pStyle w:val="Prrafo"/>
        <w:numPr>
          <w:ilvl w:val="0"/>
          <w:numId w:val="1"/>
        </w:numPr>
        <w:ind w:left="0" w:hanging="567"/>
        <w:rPr>
          <w:sz w:val="28"/>
          <w:szCs w:val="28"/>
        </w:rPr>
      </w:pPr>
      <w:r w:rsidRPr="00F868F4">
        <w:rPr>
          <w:sz w:val="28"/>
          <w:szCs w:val="28"/>
        </w:rPr>
        <w:t xml:space="preserve">Este asunto se origina en el Decreto núm. 1624, por el que se reformó el artículo 25, base A, fracción I, de la Constitución local, </w:t>
      </w:r>
      <w:r w:rsidR="00542448" w:rsidRPr="00F868F4">
        <w:rPr>
          <w:sz w:val="28"/>
          <w:szCs w:val="28"/>
        </w:rPr>
        <w:t>con el objetivo de establecer la concurrencia de los tres procesos electorales estatales con los comicios federales</w:t>
      </w:r>
      <w:r w:rsidR="00C10F43" w:rsidRPr="00F868F4">
        <w:rPr>
          <w:sz w:val="28"/>
          <w:szCs w:val="28"/>
        </w:rPr>
        <w:t xml:space="preserve">. </w:t>
      </w:r>
      <w:r w:rsidR="0011319A" w:rsidRPr="00F868F4">
        <w:rPr>
          <w:sz w:val="28"/>
          <w:szCs w:val="28"/>
        </w:rPr>
        <w:t xml:space="preserve">El partido promovente sostiene que </w:t>
      </w:r>
      <w:r w:rsidR="00DC02FE" w:rsidRPr="00F868F4">
        <w:rPr>
          <w:sz w:val="28"/>
          <w:szCs w:val="28"/>
        </w:rPr>
        <w:t xml:space="preserve">dicho decreto contraviene diversos mandatos </w:t>
      </w:r>
      <w:r w:rsidR="00721105" w:rsidRPr="00F868F4">
        <w:rPr>
          <w:sz w:val="28"/>
          <w:szCs w:val="28"/>
        </w:rPr>
        <w:t>de la Constitución Política del país</w:t>
      </w:r>
      <w:r w:rsidR="007F173C" w:rsidRPr="00F868F4">
        <w:rPr>
          <w:sz w:val="28"/>
          <w:szCs w:val="28"/>
        </w:rPr>
        <w:t xml:space="preserve">, </w:t>
      </w:r>
      <w:r w:rsidR="00381B43" w:rsidRPr="00F868F4">
        <w:rPr>
          <w:sz w:val="28"/>
          <w:szCs w:val="28"/>
        </w:rPr>
        <w:lastRenderedPageBreak/>
        <w:t xml:space="preserve">derivado de la disposición transitoria </w:t>
      </w:r>
      <w:r w:rsidR="009C06CD" w:rsidRPr="00F868F4">
        <w:rPr>
          <w:sz w:val="28"/>
          <w:szCs w:val="28"/>
        </w:rPr>
        <w:t xml:space="preserve">con base en la cual la Gubernatura electa en el año dos mil veintiocho </w:t>
      </w:r>
      <w:r w:rsidR="002B45D0" w:rsidRPr="00F868F4">
        <w:rPr>
          <w:sz w:val="28"/>
          <w:szCs w:val="28"/>
        </w:rPr>
        <w:t>solamente durará dos años.</w:t>
      </w:r>
    </w:p>
    <w:p w14:paraId="72685610" w14:textId="3F96CF8B" w:rsidR="00042D2F" w:rsidRPr="00F868F4" w:rsidRDefault="00BF7F1F" w:rsidP="00580207">
      <w:pPr>
        <w:pStyle w:val="Prrafo"/>
        <w:numPr>
          <w:ilvl w:val="0"/>
          <w:numId w:val="1"/>
        </w:numPr>
        <w:ind w:left="0" w:hanging="567"/>
        <w:rPr>
          <w:sz w:val="28"/>
          <w:szCs w:val="28"/>
        </w:rPr>
      </w:pPr>
      <w:r w:rsidRPr="00F868F4">
        <w:rPr>
          <w:sz w:val="28"/>
          <w:szCs w:val="28"/>
        </w:rPr>
        <w:t>Los argumentos se traducen en tres problemas jurídicos por analizar</w:t>
      </w:r>
      <w:r w:rsidR="00533B0E" w:rsidRPr="00F868F4">
        <w:rPr>
          <w:sz w:val="28"/>
          <w:szCs w:val="28"/>
        </w:rPr>
        <w:t xml:space="preserve">, los cuales se pueden formular de la siguiente forma: </w:t>
      </w:r>
      <w:r w:rsidR="00533B0E" w:rsidRPr="00F868F4">
        <w:rPr>
          <w:b/>
          <w:bCs/>
          <w:sz w:val="28"/>
          <w:szCs w:val="28"/>
        </w:rPr>
        <w:t>i)</w:t>
      </w:r>
      <w:r w:rsidR="00533B0E" w:rsidRPr="00F868F4">
        <w:rPr>
          <w:sz w:val="28"/>
          <w:szCs w:val="28"/>
        </w:rPr>
        <w:t xml:space="preserve"> </w:t>
      </w:r>
      <w:r w:rsidR="00D57F9D" w:rsidRPr="00F868F4">
        <w:rPr>
          <w:sz w:val="28"/>
          <w:szCs w:val="28"/>
        </w:rPr>
        <w:t>partiendo de</w:t>
      </w:r>
      <w:r w:rsidR="00004C28" w:rsidRPr="00F868F4">
        <w:rPr>
          <w:sz w:val="28"/>
          <w:szCs w:val="28"/>
        </w:rPr>
        <w:t xml:space="preserve"> la premisa de</w:t>
      </w:r>
      <w:r w:rsidR="00D57F9D" w:rsidRPr="00F868F4">
        <w:rPr>
          <w:sz w:val="28"/>
          <w:szCs w:val="28"/>
        </w:rPr>
        <w:t xml:space="preserve"> que la próxima Gubernatura debería corresponder a una mujer, </w:t>
      </w:r>
      <w:r w:rsidR="00FB04E4" w:rsidRPr="00F868F4">
        <w:rPr>
          <w:sz w:val="28"/>
          <w:szCs w:val="28"/>
        </w:rPr>
        <w:t>¿</w:t>
      </w:r>
      <w:r w:rsidR="008D4F5B" w:rsidRPr="00F868F4">
        <w:rPr>
          <w:sz w:val="28"/>
          <w:szCs w:val="28"/>
        </w:rPr>
        <w:t xml:space="preserve">la previsión de un periodo menor al ordinario de seis años </w:t>
      </w:r>
      <w:r w:rsidR="000554FD" w:rsidRPr="00F868F4">
        <w:rPr>
          <w:sz w:val="28"/>
          <w:szCs w:val="28"/>
        </w:rPr>
        <w:t>es violatorio del mandato de paridad de género y de los derechos de participación</w:t>
      </w:r>
      <w:r w:rsidR="008D4F5B" w:rsidRPr="00F868F4">
        <w:rPr>
          <w:sz w:val="28"/>
          <w:szCs w:val="28"/>
        </w:rPr>
        <w:t xml:space="preserve"> política</w:t>
      </w:r>
      <w:r w:rsidR="000554FD" w:rsidRPr="00F868F4">
        <w:rPr>
          <w:sz w:val="28"/>
          <w:szCs w:val="28"/>
        </w:rPr>
        <w:t xml:space="preserve"> de las mujeres</w:t>
      </w:r>
      <w:r w:rsidR="00987D59" w:rsidRPr="00F868F4">
        <w:rPr>
          <w:sz w:val="28"/>
          <w:szCs w:val="28"/>
        </w:rPr>
        <w:t xml:space="preserve">?; </w:t>
      </w:r>
      <w:r w:rsidR="00987D59" w:rsidRPr="00F868F4">
        <w:rPr>
          <w:b/>
          <w:bCs/>
          <w:sz w:val="28"/>
          <w:szCs w:val="28"/>
        </w:rPr>
        <w:t>ii)</w:t>
      </w:r>
      <w:r w:rsidR="00987D59" w:rsidRPr="00F868F4">
        <w:rPr>
          <w:sz w:val="28"/>
          <w:szCs w:val="28"/>
        </w:rPr>
        <w:t xml:space="preserve"> </w:t>
      </w:r>
      <w:r w:rsidR="00580207" w:rsidRPr="00F868F4">
        <w:rPr>
          <w:sz w:val="28"/>
          <w:szCs w:val="28"/>
        </w:rPr>
        <w:t>¿</w:t>
      </w:r>
      <w:r w:rsidR="0061095F" w:rsidRPr="00F868F4">
        <w:rPr>
          <w:sz w:val="28"/>
          <w:szCs w:val="28"/>
        </w:rPr>
        <w:t xml:space="preserve">el </w:t>
      </w:r>
      <w:r w:rsidR="00437E43" w:rsidRPr="00F868F4">
        <w:rPr>
          <w:sz w:val="28"/>
          <w:szCs w:val="28"/>
        </w:rPr>
        <w:t>Constituyente Permanente</w:t>
      </w:r>
      <w:r w:rsidR="0061095F" w:rsidRPr="00F868F4">
        <w:rPr>
          <w:sz w:val="28"/>
          <w:szCs w:val="28"/>
        </w:rPr>
        <w:t xml:space="preserve"> local debió consultar previamente a las comunidades indígenas del </w:t>
      </w:r>
      <w:r w:rsidR="00F274D1" w:rsidRPr="00F868F4">
        <w:rPr>
          <w:sz w:val="28"/>
          <w:szCs w:val="28"/>
        </w:rPr>
        <w:t xml:space="preserve">estado la decisión de reducir el periodo de la Gubernatura </w:t>
      </w:r>
      <w:r w:rsidR="000F47FA" w:rsidRPr="00F868F4">
        <w:rPr>
          <w:sz w:val="28"/>
          <w:szCs w:val="28"/>
        </w:rPr>
        <w:t xml:space="preserve">que se elegirá en dos mil veintiocho, </w:t>
      </w:r>
      <w:r w:rsidR="00CD4496" w:rsidRPr="00F868F4">
        <w:rPr>
          <w:sz w:val="28"/>
          <w:szCs w:val="28"/>
        </w:rPr>
        <w:t>con el objetivo de materializar</w:t>
      </w:r>
      <w:r w:rsidR="000F47FA" w:rsidRPr="00F868F4">
        <w:rPr>
          <w:sz w:val="28"/>
          <w:szCs w:val="28"/>
        </w:rPr>
        <w:t xml:space="preserve"> la concurrencia de ese proceso electoral con la elección federal a celebrarse en dos mil treinta?</w:t>
      </w:r>
      <w:r w:rsidR="00CD4496" w:rsidRPr="00F868F4">
        <w:rPr>
          <w:sz w:val="28"/>
          <w:szCs w:val="28"/>
        </w:rPr>
        <w:t xml:space="preserve">; </w:t>
      </w:r>
      <w:r w:rsidR="00CD4496" w:rsidRPr="00F868F4">
        <w:rPr>
          <w:b/>
          <w:bCs/>
          <w:sz w:val="28"/>
          <w:szCs w:val="28"/>
        </w:rPr>
        <w:t>i</w:t>
      </w:r>
      <w:r w:rsidR="006D5E5A" w:rsidRPr="00F868F4">
        <w:rPr>
          <w:b/>
          <w:bCs/>
          <w:sz w:val="28"/>
          <w:szCs w:val="28"/>
        </w:rPr>
        <w:t>i</w:t>
      </w:r>
      <w:r w:rsidR="00CD4496" w:rsidRPr="00F868F4">
        <w:rPr>
          <w:b/>
          <w:bCs/>
          <w:sz w:val="28"/>
          <w:szCs w:val="28"/>
        </w:rPr>
        <w:t>i)</w:t>
      </w:r>
      <w:r w:rsidR="00844D51" w:rsidRPr="00F868F4">
        <w:rPr>
          <w:sz w:val="28"/>
          <w:szCs w:val="28"/>
        </w:rPr>
        <w:t xml:space="preserve"> </w:t>
      </w:r>
      <w:r w:rsidR="00DA57FD" w:rsidRPr="00F868F4">
        <w:rPr>
          <w:sz w:val="28"/>
          <w:szCs w:val="28"/>
        </w:rPr>
        <w:t>al establecer un periodo</w:t>
      </w:r>
      <w:r w:rsidR="00ED4B2B" w:rsidRPr="00F868F4">
        <w:rPr>
          <w:sz w:val="28"/>
          <w:szCs w:val="28"/>
        </w:rPr>
        <w:t xml:space="preserve"> excepcional</w:t>
      </w:r>
      <w:r w:rsidR="00DA57FD" w:rsidRPr="00F868F4">
        <w:rPr>
          <w:sz w:val="28"/>
          <w:szCs w:val="28"/>
        </w:rPr>
        <w:t xml:space="preserve"> de la Gubernatura menor</w:t>
      </w:r>
      <w:r w:rsidR="00ED4B2B" w:rsidRPr="00F868F4">
        <w:rPr>
          <w:sz w:val="28"/>
          <w:szCs w:val="28"/>
        </w:rPr>
        <w:t xml:space="preserve"> </w:t>
      </w:r>
      <w:r w:rsidR="00AC4C70" w:rsidRPr="00F868F4">
        <w:rPr>
          <w:sz w:val="28"/>
          <w:szCs w:val="28"/>
        </w:rPr>
        <w:t>a</w:t>
      </w:r>
      <w:r w:rsidR="00ED4B2B" w:rsidRPr="00F868F4">
        <w:rPr>
          <w:sz w:val="28"/>
          <w:szCs w:val="28"/>
        </w:rPr>
        <w:t xml:space="preserve"> seis años, </w:t>
      </w:r>
      <w:r w:rsidR="00AC4C70" w:rsidRPr="00F868F4">
        <w:rPr>
          <w:sz w:val="28"/>
          <w:szCs w:val="28"/>
        </w:rPr>
        <w:t>¿el decreto contraviene los artículos 116 de la Constitución Política del país y 69 de la Constitución local?</w:t>
      </w:r>
    </w:p>
    <w:p w14:paraId="4955C101" w14:textId="7C558C0F" w:rsidR="003C27F9" w:rsidRPr="00F868F4" w:rsidRDefault="00E824F9" w:rsidP="00580207">
      <w:pPr>
        <w:pStyle w:val="Prrafo"/>
        <w:numPr>
          <w:ilvl w:val="0"/>
          <w:numId w:val="1"/>
        </w:numPr>
        <w:ind w:left="0" w:hanging="567"/>
        <w:rPr>
          <w:sz w:val="28"/>
          <w:szCs w:val="28"/>
        </w:rPr>
      </w:pPr>
      <w:r w:rsidRPr="00F868F4">
        <w:rPr>
          <w:sz w:val="28"/>
          <w:szCs w:val="28"/>
        </w:rPr>
        <w:t xml:space="preserve">Esta Suprema Corte analizará en primer término </w:t>
      </w:r>
      <w:r w:rsidR="001C0057" w:rsidRPr="00F868F4">
        <w:rPr>
          <w:sz w:val="28"/>
          <w:szCs w:val="28"/>
        </w:rPr>
        <w:t>el reclamo</w:t>
      </w:r>
      <w:r w:rsidR="002B7044" w:rsidRPr="00F868F4">
        <w:rPr>
          <w:sz w:val="28"/>
          <w:szCs w:val="28"/>
        </w:rPr>
        <w:t xml:space="preserve"> identificado con el </w:t>
      </w:r>
      <w:r w:rsidR="002B7044" w:rsidRPr="00F868F4">
        <w:rPr>
          <w:b/>
          <w:bCs/>
          <w:sz w:val="28"/>
          <w:szCs w:val="28"/>
        </w:rPr>
        <w:t>inciso ii)</w:t>
      </w:r>
      <w:r w:rsidR="002B7044" w:rsidRPr="00F868F4">
        <w:rPr>
          <w:sz w:val="28"/>
          <w:szCs w:val="28"/>
        </w:rPr>
        <w:t>,</w:t>
      </w:r>
      <w:r w:rsidR="001C0057" w:rsidRPr="00F868F4">
        <w:rPr>
          <w:sz w:val="28"/>
          <w:szCs w:val="28"/>
        </w:rPr>
        <w:t xml:space="preserve"> sobre la falta de consulta previa a las comunidades indígenas, debido a que se trata de una </w:t>
      </w:r>
      <w:r w:rsidR="00BB3BF3" w:rsidRPr="00F868F4">
        <w:rPr>
          <w:sz w:val="28"/>
          <w:szCs w:val="28"/>
        </w:rPr>
        <w:t xml:space="preserve">violación </w:t>
      </w:r>
      <w:r w:rsidR="0045138A" w:rsidRPr="00F868F4">
        <w:rPr>
          <w:sz w:val="28"/>
          <w:szCs w:val="28"/>
        </w:rPr>
        <w:t xml:space="preserve">procesal. </w:t>
      </w:r>
      <w:r w:rsidR="00FC696D" w:rsidRPr="00F868F4">
        <w:rPr>
          <w:sz w:val="28"/>
          <w:szCs w:val="28"/>
        </w:rPr>
        <w:t xml:space="preserve">Después, por razón de método, se valorará el planteamiento del </w:t>
      </w:r>
      <w:r w:rsidR="00FC696D" w:rsidRPr="00F868F4">
        <w:rPr>
          <w:b/>
          <w:bCs/>
          <w:sz w:val="28"/>
          <w:szCs w:val="28"/>
        </w:rPr>
        <w:t>inciso</w:t>
      </w:r>
      <w:r w:rsidR="00FC696D" w:rsidRPr="00F868F4">
        <w:rPr>
          <w:sz w:val="28"/>
          <w:szCs w:val="28"/>
        </w:rPr>
        <w:t xml:space="preserve"> </w:t>
      </w:r>
      <w:r w:rsidR="00FC696D" w:rsidRPr="00F868F4">
        <w:rPr>
          <w:b/>
          <w:bCs/>
          <w:sz w:val="28"/>
          <w:szCs w:val="28"/>
        </w:rPr>
        <w:t>iii)</w:t>
      </w:r>
      <w:r w:rsidR="00FC696D" w:rsidRPr="00F868F4">
        <w:rPr>
          <w:sz w:val="28"/>
          <w:szCs w:val="28"/>
        </w:rPr>
        <w:t xml:space="preserve">, </w:t>
      </w:r>
      <w:r w:rsidR="00226B31" w:rsidRPr="00F868F4">
        <w:rPr>
          <w:sz w:val="28"/>
          <w:szCs w:val="28"/>
        </w:rPr>
        <w:t xml:space="preserve">pues </w:t>
      </w:r>
      <w:r w:rsidR="002B2606" w:rsidRPr="00F868F4">
        <w:rPr>
          <w:sz w:val="28"/>
          <w:szCs w:val="28"/>
        </w:rPr>
        <w:t xml:space="preserve">asume como proposición que </w:t>
      </w:r>
      <w:r w:rsidR="00714094" w:rsidRPr="00F868F4">
        <w:rPr>
          <w:sz w:val="28"/>
          <w:szCs w:val="28"/>
        </w:rPr>
        <w:t>cualquier norma que establezca un</w:t>
      </w:r>
      <w:r w:rsidR="003C27F9" w:rsidRPr="00F868F4">
        <w:rPr>
          <w:sz w:val="28"/>
          <w:szCs w:val="28"/>
        </w:rPr>
        <w:t xml:space="preserve"> lapso del mandato de una gubernatura menor a seis años resulta, por sí misma, </w:t>
      </w:r>
      <w:r w:rsidR="003F3202" w:rsidRPr="00F868F4">
        <w:rPr>
          <w:sz w:val="28"/>
          <w:szCs w:val="28"/>
        </w:rPr>
        <w:t>contraria a lo ordenado en el artículo 116 constitucional</w:t>
      </w:r>
      <w:r w:rsidR="003C27F9" w:rsidRPr="00F868F4">
        <w:rPr>
          <w:sz w:val="28"/>
          <w:szCs w:val="28"/>
        </w:rPr>
        <w:t>.</w:t>
      </w:r>
      <w:r w:rsidR="003F3202" w:rsidRPr="00F868F4">
        <w:rPr>
          <w:sz w:val="28"/>
          <w:szCs w:val="28"/>
        </w:rPr>
        <w:t xml:space="preserve"> </w:t>
      </w:r>
      <w:r w:rsidR="00143967" w:rsidRPr="00F868F4">
        <w:rPr>
          <w:sz w:val="28"/>
          <w:szCs w:val="28"/>
        </w:rPr>
        <w:t xml:space="preserve">Por último, se evaluará la interrogante del </w:t>
      </w:r>
      <w:r w:rsidR="00E109F1" w:rsidRPr="00F868F4">
        <w:rPr>
          <w:b/>
          <w:bCs/>
          <w:sz w:val="28"/>
          <w:szCs w:val="28"/>
        </w:rPr>
        <w:t>inciso</w:t>
      </w:r>
      <w:r w:rsidR="00143967" w:rsidRPr="00F868F4">
        <w:rPr>
          <w:b/>
          <w:bCs/>
          <w:sz w:val="28"/>
          <w:szCs w:val="28"/>
        </w:rPr>
        <w:t xml:space="preserve"> i)</w:t>
      </w:r>
      <w:r w:rsidR="00143967" w:rsidRPr="00F868F4">
        <w:rPr>
          <w:sz w:val="28"/>
          <w:szCs w:val="28"/>
        </w:rPr>
        <w:t xml:space="preserve">, ya que sustenta el vicio de </w:t>
      </w:r>
      <w:r w:rsidR="00AC6D97" w:rsidRPr="00F868F4">
        <w:rPr>
          <w:sz w:val="28"/>
          <w:szCs w:val="28"/>
        </w:rPr>
        <w:t xml:space="preserve">invalidez </w:t>
      </w:r>
      <w:r w:rsidR="00143967" w:rsidRPr="00F868F4">
        <w:rPr>
          <w:sz w:val="28"/>
          <w:szCs w:val="28"/>
        </w:rPr>
        <w:t xml:space="preserve">en un aspecto externo </w:t>
      </w:r>
      <w:r w:rsidR="00AC6D97" w:rsidRPr="00F868F4">
        <w:rPr>
          <w:sz w:val="28"/>
          <w:szCs w:val="28"/>
        </w:rPr>
        <w:t xml:space="preserve">a la norma reclamada, </w:t>
      </w:r>
      <w:r w:rsidR="00967AEE" w:rsidRPr="00F868F4">
        <w:rPr>
          <w:sz w:val="28"/>
          <w:szCs w:val="28"/>
        </w:rPr>
        <w:t xml:space="preserve">como lo es </w:t>
      </w:r>
      <w:r w:rsidR="00762680" w:rsidRPr="00F868F4">
        <w:rPr>
          <w:sz w:val="28"/>
          <w:szCs w:val="28"/>
        </w:rPr>
        <w:t xml:space="preserve">la circunstancia de que </w:t>
      </w:r>
      <w:r w:rsidR="00762680" w:rsidRPr="00F868F4">
        <w:rPr>
          <w:bCs/>
          <w:sz w:val="28"/>
          <w:szCs w:val="28"/>
        </w:rPr>
        <w:t xml:space="preserve">—a consideración del promovente— </w:t>
      </w:r>
      <w:r w:rsidR="00B214B0" w:rsidRPr="00F868F4">
        <w:rPr>
          <w:bCs/>
          <w:sz w:val="28"/>
          <w:szCs w:val="28"/>
        </w:rPr>
        <w:t>la Gubernatura</w:t>
      </w:r>
      <w:r w:rsidR="00A735BA" w:rsidRPr="00F868F4">
        <w:rPr>
          <w:bCs/>
          <w:sz w:val="28"/>
          <w:szCs w:val="28"/>
        </w:rPr>
        <w:t xml:space="preserve"> que se elegirá en el año dos mil veintiocho debería corresponder a una mujer.</w:t>
      </w:r>
    </w:p>
    <w:p w14:paraId="7B1EBEFC" w14:textId="70ED5DEA" w:rsidR="00AA085C" w:rsidRPr="00F868F4" w:rsidRDefault="00AA085C" w:rsidP="00AA085C">
      <w:pPr>
        <w:pStyle w:val="Ttulo2"/>
        <w:keepNext/>
        <w:jc w:val="center"/>
        <w:rPr>
          <w:rFonts w:ascii="Arial" w:hAnsi="Arial"/>
        </w:rPr>
      </w:pPr>
      <w:r w:rsidRPr="00F868F4">
        <w:rPr>
          <w:rFonts w:ascii="Arial" w:hAnsi="Arial"/>
        </w:rPr>
        <w:lastRenderedPageBreak/>
        <w:t xml:space="preserve">V.1. </w:t>
      </w:r>
      <w:r w:rsidR="003E640E" w:rsidRPr="00F868F4">
        <w:rPr>
          <w:rFonts w:ascii="Arial" w:hAnsi="Arial"/>
        </w:rPr>
        <w:t>Supuesto incumplimiento del deber de consulta previa a las comunidades indígenas</w:t>
      </w:r>
    </w:p>
    <w:p w14:paraId="068DE0EE" w14:textId="3DE569B0" w:rsidR="00362073" w:rsidRPr="00F868F4" w:rsidRDefault="00362073" w:rsidP="00C27AAE">
      <w:pPr>
        <w:pStyle w:val="Prrafo"/>
        <w:numPr>
          <w:ilvl w:val="0"/>
          <w:numId w:val="1"/>
        </w:numPr>
        <w:ind w:left="0" w:hanging="567"/>
        <w:rPr>
          <w:sz w:val="28"/>
          <w:szCs w:val="28"/>
        </w:rPr>
      </w:pPr>
      <w:r w:rsidRPr="00F868F4">
        <w:rPr>
          <w:sz w:val="28"/>
          <w:szCs w:val="28"/>
        </w:rPr>
        <w:t>Este Tribunal Pleno considera</w:t>
      </w:r>
      <w:r w:rsidRPr="00F868F4">
        <w:rPr>
          <w:b/>
          <w:bCs/>
          <w:sz w:val="28"/>
          <w:szCs w:val="28"/>
        </w:rPr>
        <w:t xml:space="preserve"> </w:t>
      </w:r>
      <w:r w:rsidRPr="00F868F4">
        <w:rPr>
          <w:sz w:val="28"/>
          <w:szCs w:val="28"/>
        </w:rPr>
        <w:t xml:space="preserve">que </w:t>
      </w:r>
      <w:r w:rsidRPr="00F868F4">
        <w:rPr>
          <w:b/>
          <w:bCs/>
          <w:sz w:val="28"/>
          <w:szCs w:val="28"/>
        </w:rPr>
        <w:t>no le asiste razón</w:t>
      </w:r>
      <w:r w:rsidRPr="00F868F4">
        <w:rPr>
          <w:sz w:val="28"/>
          <w:szCs w:val="28"/>
        </w:rPr>
        <w:t xml:space="preserve"> al partido promovente en cuanto a que el decreto impugnado</w:t>
      </w:r>
      <w:r w:rsidR="005E4D03" w:rsidRPr="00F868F4">
        <w:rPr>
          <w:sz w:val="28"/>
          <w:szCs w:val="28"/>
        </w:rPr>
        <w:t xml:space="preserve"> contraviene la exigencia de consultar </w:t>
      </w:r>
      <w:r w:rsidR="00253BB6" w:rsidRPr="00F868F4">
        <w:rPr>
          <w:sz w:val="28"/>
          <w:szCs w:val="28"/>
        </w:rPr>
        <w:t>previamente</w:t>
      </w:r>
      <w:r w:rsidR="005E4D03" w:rsidRPr="00F868F4">
        <w:rPr>
          <w:sz w:val="28"/>
          <w:szCs w:val="28"/>
        </w:rPr>
        <w:t xml:space="preserve"> a las comunidades indígenas que radican en el estado de Oaxaca</w:t>
      </w:r>
      <w:r w:rsidR="001B4DBD" w:rsidRPr="00F868F4">
        <w:rPr>
          <w:sz w:val="28"/>
          <w:szCs w:val="28"/>
        </w:rPr>
        <w:t>.</w:t>
      </w:r>
      <w:r w:rsidR="005E4D03" w:rsidRPr="00F868F4">
        <w:rPr>
          <w:sz w:val="28"/>
          <w:szCs w:val="28"/>
        </w:rPr>
        <w:t xml:space="preserve"> </w:t>
      </w:r>
      <w:r w:rsidR="001B4DBD" w:rsidRPr="00F868F4">
        <w:rPr>
          <w:sz w:val="28"/>
          <w:szCs w:val="28"/>
        </w:rPr>
        <w:t xml:space="preserve">Lo anterior, </w:t>
      </w:r>
      <w:r w:rsidR="00561BFA" w:rsidRPr="00F868F4">
        <w:rPr>
          <w:sz w:val="28"/>
          <w:szCs w:val="28"/>
        </w:rPr>
        <w:t>debido a que</w:t>
      </w:r>
      <w:r w:rsidR="00202D98" w:rsidRPr="00F868F4">
        <w:rPr>
          <w:sz w:val="28"/>
          <w:szCs w:val="28"/>
        </w:rPr>
        <w:t xml:space="preserve"> la reforma realizada a través del Decreto núm. 1624 no impacta de forma específica y diferenciada en </w:t>
      </w:r>
      <w:r w:rsidR="001E226E" w:rsidRPr="00F868F4">
        <w:rPr>
          <w:sz w:val="28"/>
          <w:szCs w:val="28"/>
        </w:rPr>
        <w:t>los derechos e intereses de la ciudadanía perteneciente a las comunidades indígenas</w:t>
      </w:r>
      <w:r w:rsidR="006D5F51" w:rsidRPr="00F868F4">
        <w:rPr>
          <w:sz w:val="28"/>
          <w:szCs w:val="28"/>
        </w:rPr>
        <w:t>, por lo que no se actualizó la obligación de consultarlas</w:t>
      </w:r>
      <w:r w:rsidR="001E226E" w:rsidRPr="00F868F4">
        <w:rPr>
          <w:sz w:val="28"/>
          <w:szCs w:val="28"/>
        </w:rPr>
        <w:t>.</w:t>
      </w:r>
      <w:r w:rsidR="00064099" w:rsidRPr="00F868F4">
        <w:rPr>
          <w:sz w:val="28"/>
          <w:szCs w:val="28"/>
        </w:rPr>
        <w:t xml:space="preserve"> </w:t>
      </w:r>
      <w:r w:rsidR="006D1D0A" w:rsidRPr="00F868F4">
        <w:rPr>
          <w:sz w:val="28"/>
          <w:szCs w:val="28"/>
        </w:rPr>
        <w:t>En los siguientes párrafos se desarrollan las consideraciones con base en las cuales se justifica esta conclusión.</w:t>
      </w:r>
    </w:p>
    <w:p w14:paraId="126A375E" w14:textId="07D83007" w:rsidR="00B329C0" w:rsidRPr="00100E34" w:rsidRDefault="00B329C0" w:rsidP="00B329C0">
      <w:pPr>
        <w:keepNext/>
        <w:tabs>
          <w:tab w:val="left" w:pos="426"/>
        </w:tabs>
        <w:spacing w:before="240" w:after="240" w:line="360" w:lineRule="auto"/>
        <w:jc w:val="center"/>
        <w:rPr>
          <w:rFonts w:ascii="Arial" w:hAnsi="Arial" w:cs="Arial"/>
          <w:b/>
          <w:sz w:val="28"/>
          <w:szCs w:val="28"/>
          <w:lang w:eastAsia="es-ES"/>
        </w:rPr>
      </w:pPr>
      <w:r w:rsidRPr="00100E34">
        <w:rPr>
          <w:rFonts w:ascii="Arial" w:hAnsi="Arial" w:cs="Arial"/>
          <w:b/>
          <w:sz w:val="28"/>
          <w:szCs w:val="28"/>
          <w:lang w:eastAsia="es-ES"/>
        </w:rPr>
        <w:t>A)</w:t>
      </w:r>
      <w:r w:rsidRPr="00100E34">
        <w:rPr>
          <w:rFonts w:ascii="Arial" w:hAnsi="Arial" w:cs="Arial"/>
          <w:b/>
          <w:i/>
          <w:iCs/>
          <w:sz w:val="28"/>
          <w:szCs w:val="28"/>
          <w:lang w:eastAsia="es-ES"/>
        </w:rPr>
        <w:t xml:space="preserve"> </w:t>
      </w:r>
      <w:r w:rsidRPr="00100E34">
        <w:rPr>
          <w:rFonts w:ascii="Arial" w:hAnsi="Arial" w:cs="Arial"/>
          <w:b/>
          <w:sz w:val="28"/>
          <w:szCs w:val="28"/>
          <w:lang w:eastAsia="es-ES"/>
        </w:rPr>
        <w:t>Parámetro de regularidad constitucional</w:t>
      </w:r>
    </w:p>
    <w:p w14:paraId="2A861A9D" w14:textId="38A853E5" w:rsidR="006A6C3B" w:rsidRPr="00F868F4" w:rsidRDefault="006A6C3B" w:rsidP="006A6C3B">
      <w:pPr>
        <w:pStyle w:val="Prrafo"/>
        <w:numPr>
          <w:ilvl w:val="0"/>
          <w:numId w:val="1"/>
        </w:numPr>
        <w:ind w:left="0" w:hanging="567"/>
        <w:rPr>
          <w:sz w:val="28"/>
          <w:szCs w:val="28"/>
        </w:rPr>
      </w:pPr>
      <w:r w:rsidRPr="00F868F4">
        <w:rPr>
          <w:sz w:val="28"/>
          <w:szCs w:val="28"/>
        </w:rPr>
        <w:t>En relación con los pueblos y comunidades indígenas y afromexicanas, este</w:t>
      </w:r>
      <w:r w:rsidRPr="00F868F4">
        <w:rPr>
          <w:bCs/>
          <w:sz w:val="28"/>
          <w:szCs w:val="28"/>
        </w:rPr>
        <w:t xml:space="preserve"> alto tribunal ha sostenido en reiteradas ocasiones que los artículos 2° de la Constitución </w:t>
      </w:r>
      <w:r w:rsidRPr="00F868F4">
        <w:rPr>
          <w:sz w:val="28"/>
          <w:szCs w:val="28"/>
        </w:rPr>
        <w:t>Política del país</w:t>
      </w:r>
      <w:r w:rsidRPr="00F868F4">
        <w:rPr>
          <w:bCs/>
          <w:sz w:val="28"/>
          <w:szCs w:val="28"/>
        </w:rPr>
        <w:t>; 6 y 7 del Convenio número 169 sobre Pueblos Indígenas y Tribales en Países Independientes de la Organización Internacional del Trabajo</w:t>
      </w:r>
      <w:r w:rsidRPr="00F868F4">
        <w:rPr>
          <w:rStyle w:val="Refdenotaalpie"/>
          <w:bCs/>
          <w:sz w:val="28"/>
          <w:szCs w:val="28"/>
        </w:rPr>
        <w:footnoteReference w:id="22"/>
      </w:r>
      <w:r w:rsidRPr="00F868F4">
        <w:rPr>
          <w:bCs/>
          <w:sz w:val="28"/>
          <w:szCs w:val="28"/>
        </w:rPr>
        <w:t xml:space="preserve"> obligan a las autoridades mexicanas a consultarles previamente, mediante procedimientos culturalmente adecuados, informados y de buena fe, a través de sus representantes o autoridades tradicionales, cada vez que se prevean medidas legislativas susceptibles de afectarles </w:t>
      </w:r>
      <w:r w:rsidR="00E02C92" w:rsidRPr="00F868F4">
        <w:rPr>
          <w:bCs/>
          <w:sz w:val="28"/>
          <w:szCs w:val="28"/>
        </w:rPr>
        <w:t>directamente</w:t>
      </w:r>
      <w:r w:rsidRPr="00F868F4">
        <w:rPr>
          <w:bCs/>
          <w:sz w:val="28"/>
          <w:szCs w:val="28"/>
        </w:rPr>
        <w:t>.</w:t>
      </w:r>
    </w:p>
    <w:p w14:paraId="75B7CEC0" w14:textId="77777777" w:rsidR="006A6C3B" w:rsidRPr="00F868F4" w:rsidRDefault="006A6C3B" w:rsidP="006A6C3B">
      <w:pPr>
        <w:pStyle w:val="Prrafo"/>
        <w:numPr>
          <w:ilvl w:val="0"/>
          <w:numId w:val="1"/>
        </w:numPr>
        <w:ind w:left="0" w:hanging="567"/>
        <w:rPr>
          <w:sz w:val="28"/>
          <w:szCs w:val="28"/>
        </w:rPr>
      </w:pPr>
      <w:r w:rsidRPr="00F868F4">
        <w:rPr>
          <w:sz w:val="28"/>
          <w:szCs w:val="28"/>
        </w:rPr>
        <w:t xml:space="preserve">En la </w:t>
      </w:r>
      <w:r w:rsidRPr="00F868F4">
        <w:rPr>
          <w:b/>
          <w:bCs/>
          <w:sz w:val="28"/>
          <w:szCs w:val="28"/>
        </w:rPr>
        <w:t>controversia constitucional 32/2012</w:t>
      </w:r>
      <w:r w:rsidRPr="00F868F4">
        <w:rPr>
          <w:vertAlign w:val="superscript"/>
        </w:rPr>
        <w:footnoteReference w:id="23"/>
      </w:r>
      <w:r w:rsidRPr="00F868F4">
        <w:rPr>
          <w:sz w:val="28"/>
          <w:szCs w:val="28"/>
        </w:rPr>
        <w:t xml:space="preserve">, </w:t>
      </w:r>
      <w:r w:rsidRPr="00F868F4">
        <w:rPr>
          <w:bCs/>
          <w:sz w:val="28"/>
          <w:szCs w:val="28"/>
        </w:rPr>
        <w:t xml:space="preserve">este Tribunal Pleno consideró que el derecho a la consulta se deprende de los postulados del </w:t>
      </w:r>
      <w:r w:rsidRPr="00F868F4">
        <w:rPr>
          <w:bCs/>
          <w:sz w:val="28"/>
          <w:szCs w:val="28"/>
        </w:rPr>
        <w:lastRenderedPageBreak/>
        <w:t>artículo 2° de la Constitución Política del país, relativos a la autodeterminación, a la preservación de su cultura e identidad, al</w:t>
      </w:r>
      <w:r w:rsidRPr="00F868F4">
        <w:rPr>
          <w:sz w:val="28"/>
          <w:szCs w:val="28"/>
        </w:rPr>
        <w:t xml:space="preserve"> acceso a la justicia, así como a la igualdad y a la no discriminación. Por lo tanto, se precisó que, a pesar de que la consulta indígena no estuviese prevista expresamente como parte del procedimiento legislativo, en términos de los artículos 1° de la Constitución Política del país; 6 y 7 del Convenio 169, se imponían una serie de obligaciones a las autoridades mexicanas, antes de tomar decisiones que pudieran afectar de manera directa a estos grupos</w:t>
      </w:r>
      <w:r w:rsidRPr="00F868F4">
        <w:rPr>
          <w:rStyle w:val="Refdenotaalpie"/>
          <w:sz w:val="28"/>
          <w:szCs w:val="28"/>
        </w:rPr>
        <w:footnoteReference w:id="24"/>
      </w:r>
      <w:r w:rsidRPr="00F868F4">
        <w:rPr>
          <w:sz w:val="28"/>
          <w:szCs w:val="28"/>
        </w:rPr>
        <w:t>.</w:t>
      </w:r>
    </w:p>
    <w:p w14:paraId="27839429" w14:textId="77777777" w:rsidR="006A6C3B" w:rsidRPr="00F868F4" w:rsidRDefault="006A6C3B" w:rsidP="006A6C3B">
      <w:pPr>
        <w:pStyle w:val="Prrafo"/>
        <w:numPr>
          <w:ilvl w:val="0"/>
          <w:numId w:val="1"/>
        </w:numPr>
        <w:ind w:left="0" w:hanging="567"/>
        <w:rPr>
          <w:sz w:val="28"/>
          <w:szCs w:val="28"/>
        </w:rPr>
      </w:pPr>
      <w:r w:rsidRPr="00F868F4">
        <w:rPr>
          <w:bCs/>
          <w:sz w:val="28"/>
          <w:szCs w:val="28"/>
        </w:rPr>
        <w:t xml:space="preserve">En la </w:t>
      </w:r>
      <w:r w:rsidRPr="00F868F4">
        <w:rPr>
          <w:b/>
          <w:sz w:val="28"/>
          <w:szCs w:val="28"/>
        </w:rPr>
        <w:t>acción de inconstitucionalidad 83/2015 y sus acumuladas 86/2015, 91/2015 y 98/2015</w:t>
      </w:r>
      <w:r w:rsidRPr="00F868F4">
        <w:rPr>
          <w:vertAlign w:val="superscript"/>
        </w:rPr>
        <w:footnoteReference w:id="25"/>
      </w:r>
      <w:r w:rsidRPr="00F868F4">
        <w:rPr>
          <w:bCs/>
          <w:sz w:val="28"/>
          <w:szCs w:val="28"/>
        </w:rPr>
        <w:t xml:space="preserve">, se concluyó que, cuando el objeto de </w:t>
      </w:r>
      <w:r w:rsidRPr="00F868F4">
        <w:rPr>
          <w:bCs/>
          <w:sz w:val="28"/>
          <w:szCs w:val="28"/>
        </w:rPr>
        <w:lastRenderedPageBreak/>
        <w:t xml:space="preserve">regulación de una legislación son precisamente los derechos de personas que se rigen por sistemas normativos indígenas, es evidente que se trata de leyes susceptibles de afectarles directamente. Posteriormente, en la </w:t>
      </w:r>
      <w:r w:rsidRPr="00F868F4">
        <w:rPr>
          <w:b/>
          <w:sz w:val="28"/>
          <w:szCs w:val="28"/>
        </w:rPr>
        <w:t>acción de inconstitucionalidad 31/2014</w:t>
      </w:r>
      <w:r w:rsidRPr="00F868F4">
        <w:rPr>
          <w:vertAlign w:val="superscript"/>
        </w:rPr>
        <w:footnoteReference w:id="26"/>
      </w:r>
      <w:r w:rsidRPr="00F868F4">
        <w:rPr>
          <w:bCs/>
          <w:sz w:val="28"/>
          <w:szCs w:val="28"/>
        </w:rPr>
        <w:t xml:space="preserve"> se consideró que las disposiciones impugnadas implicaban medidas legislativas que incidían en los mecanismos u organismos a través de los cuales las comunidades indígenas podían ejercer sus derechos de participación en las políticas públicas que afectaban a sus intereses.</w:t>
      </w:r>
    </w:p>
    <w:p w14:paraId="7DD7BED5" w14:textId="77777777" w:rsidR="006A6C3B" w:rsidRPr="00F868F4" w:rsidRDefault="006A6C3B" w:rsidP="006A6C3B">
      <w:pPr>
        <w:pStyle w:val="Prrafo"/>
        <w:numPr>
          <w:ilvl w:val="0"/>
          <w:numId w:val="1"/>
        </w:numPr>
        <w:ind w:left="0" w:hanging="567"/>
        <w:rPr>
          <w:sz w:val="28"/>
          <w:szCs w:val="28"/>
        </w:rPr>
      </w:pPr>
      <w:r w:rsidRPr="00F868F4">
        <w:rPr>
          <w:sz w:val="28"/>
          <w:szCs w:val="28"/>
        </w:rPr>
        <w:t xml:space="preserve">Asimismo, en la </w:t>
      </w:r>
      <w:r w:rsidRPr="00F868F4">
        <w:rPr>
          <w:b/>
          <w:sz w:val="28"/>
          <w:szCs w:val="28"/>
        </w:rPr>
        <w:t>acción de inconstitucionalidad 84/2016</w:t>
      </w:r>
      <w:r w:rsidRPr="00F868F4">
        <w:rPr>
          <w:sz w:val="28"/>
          <w:szCs w:val="28"/>
          <w:vertAlign w:val="superscript"/>
        </w:rPr>
        <w:footnoteReference w:id="27"/>
      </w:r>
      <w:r w:rsidRPr="00F868F4">
        <w:rPr>
          <w:sz w:val="28"/>
          <w:szCs w:val="28"/>
        </w:rPr>
        <w:t xml:space="preserve"> se consideró que existe una posibilidad de afectación directa en el sentido del Convenio 169 si las leyes bajo análisis regulan instituciones destinadas a atender las necesidades de educación superior de los pueblos y comunidades indígenas. </w:t>
      </w:r>
      <w:r w:rsidRPr="00F868F4">
        <w:rPr>
          <w:bCs/>
          <w:sz w:val="28"/>
          <w:szCs w:val="28"/>
        </w:rPr>
        <w:t xml:space="preserve">De lo anterior, se advierte que esta Suprema Corte de Justicia de la Nación ha concluido que las comunidades indígenas deben ser consultadas conforme a los estándares del Convenio referido, </w:t>
      </w:r>
      <w:r w:rsidRPr="00F868F4">
        <w:rPr>
          <w:b/>
          <w:sz w:val="28"/>
          <w:szCs w:val="28"/>
        </w:rPr>
        <w:t>siempre que la norma general sea susceptible de afectar a estos grupos de manera especial y diferenciada frente al resto de la población</w:t>
      </w:r>
      <w:r w:rsidRPr="00F868F4">
        <w:rPr>
          <w:bCs/>
          <w:sz w:val="28"/>
          <w:szCs w:val="28"/>
        </w:rPr>
        <w:t>.</w:t>
      </w:r>
    </w:p>
    <w:p w14:paraId="58C0FEB1" w14:textId="77777777" w:rsidR="006A6C3B" w:rsidRPr="00F868F4" w:rsidRDefault="006A6C3B" w:rsidP="006A6C3B">
      <w:pPr>
        <w:pStyle w:val="Prrafo"/>
        <w:numPr>
          <w:ilvl w:val="0"/>
          <w:numId w:val="1"/>
        </w:numPr>
        <w:ind w:left="0" w:hanging="567"/>
        <w:rPr>
          <w:sz w:val="28"/>
          <w:szCs w:val="28"/>
        </w:rPr>
      </w:pPr>
      <w:r w:rsidRPr="00F868F4">
        <w:rPr>
          <w:bCs/>
          <w:sz w:val="28"/>
          <w:szCs w:val="28"/>
        </w:rPr>
        <w:t xml:space="preserve">De igual forma, se ha reconocido que la afectación directa a los pueblos y a las comunidades indígenas a las que alude el artículo 6 del Convenio 169, y cuya mera posibilidad da lugar a la obligación de consultarles una medida legislativa, </w:t>
      </w:r>
      <w:r w:rsidRPr="00F868F4">
        <w:rPr>
          <w:b/>
          <w:sz w:val="28"/>
          <w:szCs w:val="28"/>
        </w:rPr>
        <w:t xml:space="preserve">no se refiere exclusivamente a la generación de </w:t>
      </w:r>
      <w:r w:rsidRPr="00F868F4">
        <w:rPr>
          <w:b/>
          <w:sz w:val="28"/>
          <w:szCs w:val="28"/>
        </w:rPr>
        <w:lastRenderedPageBreak/>
        <w:t>algún perjuicio</w:t>
      </w:r>
      <w:r w:rsidRPr="00F868F4">
        <w:rPr>
          <w:bCs/>
          <w:sz w:val="28"/>
          <w:szCs w:val="28"/>
        </w:rPr>
        <w:t xml:space="preserve">. Por ejemplo, en la </w:t>
      </w:r>
      <w:r w:rsidRPr="00F868F4">
        <w:rPr>
          <w:b/>
          <w:bCs/>
          <w:sz w:val="28"/>
          <w:szCs w:val="28"/>
        </w:rPr>
        <w:t>acción de inconstitucionalidad 151/2017</w:t>
      </w:r>
      <w:r w:rsidRPr="00F868F4">
        <w:rPr>
          <w:vertAlign w:val="superscript"/>
        </w:rPr>
        <w:footnoteReference w:id="28"/>
      </w:r>
      <w:r w:rsidRPr="00F868F4">
        <w:rPr>
          <w:bCs/>
          <w:sz w:val="28"/>
          <w:szCs w:val="28"/>
        </w:rPr>
        <w:t xml:space="preserve"> se declaró la invalidez de diversas normas cuyo propósito manifiesto era promover el rescate y la conservación de la cultura de un grupo indígena en una entidad federativa.</w:t>
      </w:r>
    </w:p>
    <w:p w14:paraId="7EF7BC51" w14:textId="77777777" w:rsidR="006A6C3B" w:rsidRPr="00F868F4" w:rsidRDefault="006A6C3B" w:rsidP="006A6C3B">
      <w:pPr>
        <w:pStyle w:val="Prrafo"/>
        <w:numPr>
          <w:ilvl w:val="0"/>
          <w:numId w:val="1"/>
        </w:numPr>
        <w:ind w:left="0" w:hanging="567"/>
        <w:rPr>
          <w:sz w:val="28"/>
          <w:szCs w:val="28"/>
        </w:rPr>
      </w:pPr>
      <w:r w:rsidRPr="00F868F4">
        <w:rPr>
          <w:bCs/>
          <w:sz w:val="28"/>
          <w:szCs w:val="28"/>
        </w:rPr>
        <w:t xml:space="preserve">Asimismo, en la </w:t>
      </w:r>
      <w:r w:rsidRPr="00F868F4">
        <w:rPr>
          <w:b/>
          <w:bCs/>
          <w:sz w:val="28"/>
          <w:szCs w:val="28"/>
        </w:rPr>
        <w:t>acción de inconstitucionalidad 108/2019 y su acumulada 118/2019</w:t>
      </w:r>
      <w:r w:rsidRPr="00F868F4">
        <w:rPr>
          <w:vertAlign w:val="superscript"/>
        </w:rPr>
        <w:footnoteReference w:id="29"/>
      </w:r>
      <w:r w:rsidRPr="00F868F4">
        <w:rPr>
          <w:bCs/>
          <w:sz w:val="28"/>
          <w:szCs w:val="28"/>
        </w:rPr>
        <w:t xml:space="preserve"> se declaró la invalidez de disposiciones normativas, ya que no se consultaron de manera adecuada a pesar de que tales normas estaban relacionadas con el derecho de los pueblos y comunidades indígenas de una entidad federativa a elegir dirigentes conforme a sus prácticas tradicionales.</w:t>
      </w:r>
    </w:p>
    <w:p w14:paraId="01005E79" w14:textId="77777777" w:rsidR="006A6C3B" w:rsidRPr="00F868F4" w:rsidRDefault="006A6C3B" w:rsidP="006A6C3B">
      <w:pPr>
        <w:pStyle w:val="Prrafo"/>
        <w:numPr>
          <w:ilvl w:val="0"/>
          <w:numId w:val="1"/>
        </w:numPr>
        <w:ind w:left="0" w:hanging="567"/>
        <w:rPr>
          <w:sz w:val="28"/>
          <w:szCs w:val="28"/>
        </w:rPr>
      </w:pPr>
      <w:r w:rsidRPr="00F868F4">
        <w:rPr>
          <w:bCs/>
          <w:sz w:val="28"/>
          <w:szCs w:val="28"/>
        </w:rPr>
        <w:t xml:space="preserve">Ahora bien, en la </w:t>
      </w:r>
      <w:r w:rsidRPr="00F868F4">
        <w:rPr>
          <w:b/>
          <w:bCs/>
          <w:sz w:val="28"/>
          <w:szCs w:val="28"/>
        </w:rPr>
        <w:t>acción de inconstitucionalidad 81/2018,</w:t>
      </w:r>
      <w:r w:rsidRPr="00F868F4">
        <w:rPr>
          <w:bCs/>
          <w:sz w:val="28"/>
          <w:szCs w:val="28"/>
        </w:rPr>
        <w:t xml:space="preserve"> este alto tribunal estableció que </w:t>
      </w:r>
      <w:bookmarkStart w:id="4" w:name="_Hlk118547122"/>
      <w:r w:rsidRPr="00F868F4">
        <w:rPr>
          <w:b/>
          <w:bCs/>
          <w:sz w:val="28"/>
          <w:szCs w:val="28"/>
        </w:rPr>
        <w:t>los procesos de consulta de medidas legislativas</w:t>
      </w:r>
      <w:r w:rsidRPr="00F868F4">
        <w:rPr>
          <w:bCs/>
          <w:sz w:val="28"/>
          <w:szCs w:val="28"/>
        </w:rPr>
        <w:t xml:space="preserve"> susceptibles de afectar a pueblos y a comunidades indígenas y afromexicanas deben observar, como mínimo, las fases </w:t>
      </w:r>
      <w:bookmarkEnd w:id="4"/>
      <w:r w:rsidRPr="00F868F4">
        <w:rPr>
          <w:bCs/>
          <w:sz w:val="28"/>
          <w:szCs w:val="28"/>
        </w:rPr>
        <w:t>y características siguientes</w:t>
      </w:r>
      <w:r w:rsidRPr="00F868F4">
        <w:rPr>
          <w:vertAlign w:val="superscript"/>
        </w:rPr>
        <w:footnoteReference w:id="30"/>
      </w:r>
      <w:r w:rsidRPr="00F868F4">
        <w:rPr>
          <w:bCs/>
          <w:sz w:val="28"/>
          <w:szCs w:val="28"/>
        </w:rPr>
        <w:t>:</w:t>
      </w:r>
    </w:p>
    <w:p w14:paraId="063502EE" w14:textId="77777777" w:rsidR="006A6C3B" w:rsidRPr="00F868F4" w:rsidRDefault="006A6C3B" w:rsidP="006A6C3B">
      <w:pPr>
        <w:pStyle w:val="corte4fondo"/>
        <w:numPr>
          <w:ilvl w:val="2"/>
          <w:numId w:val="13"/>
        </w:numPr>
        <w:tabs>
          <w:tab w:val="left" w:pos="567"/>
        </w:tabs>
        <w:spacing w:after="240"/>
        <w:ind w:left="1276" w:hanging="567"/>
        <w:rPr>
          <w:rFonts w:cs="Arial"/>
          <w:bCs/>
          <w:sz w:val="28"/>
          <w:szCs w:val="28"/>
          <w:lang w:val="es-MX"/>
        </w:rPr>
      </w:pPr>
      <w:r w:rsidRPr="00F868F4">
        <w:rPr>
          <w:rFonts w:cs="Arial"/>
          <w:b/>
          <w:sz w:val="28"/>
          <w:szCs w:val="28"/>
          <w:lang w:val="es-MX"/>
        </w:rPr>
        <w:lastRenderedPageBreak/>
        <w:t>Fase preconsultiva</w:t>
      </w:r>
      <w:r w:rsidRPr="00F868F4">
        <w:rPr>
          <w:rFonts w:cs="Arial"/>
          <w:bCs/>
          <w:sz w:val="28"/>
          <w:szCs w:val="28"/>
          <w:lang w:val="es-MX"/>
        </w:rPr>
        <w:t xml:space="preserve"> que permita la identificación de la medida legislativa que debe ser objeto de consulta, la identificación de los pueblos y comunidades indígenas y afromexicanas a ser consultados, así como la determinación de la forma de llevar a cabo el proceso, la forma de intervención y la formalización de acuerdos, lo cual se deberá definir de común acuerdo entre autoridades gubernamentales y representantes de las comunidades indígenas.</w:t>
      </w:r>
    </w:p>
    <w:p w14:paraId="3ABE1611" w14:textId="77777777" w:rsidR="006A6C3B" w:rsidRPr="00F868F4" w:rsidRDefault="006A6C3B" w:rsidP="006A6C3B">
      <w:pPr>
        <w:pStyle w:val="corte4fondo"/>
        <w:numPr>
          <w:ilvl w:val="2"/>
          <w:numId w:val="13"/>
        </w:numPr>
        <w:tabs>
          <w:tab w:val="left" w:pos="567"/>
        </w:tabs>
        <w:spacing w:after="240"/>
        <w:ind w:left="1276" w:hanging="567"/>
        <w:rPr>
          <w:rFonts w:cs="Arial"/>
          <w:bCs/>
          <w:sz w:val="28"/>
          <w:szCs w:val="28"/>
          <w:lang w:val="es-MX"/>
        </w:rPr>
      </w:pPr>
      <w:r w:rsidRPr="00F868F4">
        <w:rPr>
          <w:rFonts w:cs="Arial"/>
          <w:b/>
          <w:sz w:val="28"/>
          <w:szCs w:val="28"/>
          <w:lang w:val="es-MX"/>
        </w:rPr>
        <w:t xml:space="preserve">Fase </w:t>
      </w:r>
      <w:r w:rsidRPr="00F868F4">
        <w:rPr>
          <w:rFonts w:cs="Arial"/>
          <w:b/>
          <w:bCs/>
          <w:sz w:val="28"/>
          <w:szCs w:val="28"/>
          <w:lang w:val="es-MX"/>
        </w:rPr>
        <w:t>informativa</w:t>
      </w:r>
      <w:r w:rsidRPr="00F868F4">
        <w:rPr>
          <w:rFonts w:cs="Arial"/>
          <w:bCs/>
          <w:sz w:val="28"/>
          <w:szCs w:val="28"/>
          <w:lang w:val="es-MX"/>
        </w:rPr>
        <w:t xml:space="preserve"> de entrega de información y difusión del proceso de consulta, con la finalidad de contar con información completa, previa y significativa sobre las medidas legislativas. Ello puede incluir, por ejemplo, la entrega por parte de las autoridades de un análisis y evaluación apropiada de las repercusiones de las medidas legislativas.</w:t>
      </w:r>
    </w:p>
    <w:p w14:paraId="29615297" w14:textId="77777777" w:rsidR="006A6C3B" w:rsidRPr="00F868F4" w:rsidRDefault="006A6C3B" w:rsidP="006A6C3B">
      <w:pPr>
        <w:pStyle w:val="corte4fondo"/>
        <w:numPr>
          <w:ilvl w:val="2"/>
          <w:numId w:val="13"/>
        </w:numPr>
        <w:tabs>
          <w:tab w:val="left" w:pos="567"/>
        </w:tabs>
        <w:spacing w:after="240"/>
        <w:ind w:left="1276" w:hanging="567"/>
        <w:rPr>
          <w:rFonts w:cs="Arial"/>
          <w:bCs/>
          <w:sz w:val="28"/>
          <w:szCs w:val="28"/>
          <w:lang w:val="es-MX"/>
        </w:rPr>
      </w:pPr>
      <w:r w:rsidRPr="00F868F4">
        <w:rPr>
          <w:rFonts w:cs="Arial"/>
          <w:b/>
          <w:sz w:val="28"/>
          <w:szCs w:val="28"/>
          <w:lang w:val="es-MX"/>
        </w:rPr>
        <w:t>Fase de deliberación interna</w:t>
      </w:r>
      <w:r w:rsidRPr="00F868F4">
        <w:rPr>
          <w:rFonts w:cs="Arial"/>
          <w:sz w:val="28"/>
          <w:szCs w:val="28"/>
          <w:lang w:val="es-MX"/>
        </w:rPr>
        <w:t>. En esta etapa —que resulta fundamental— los pueblos y las comunidades indígenas y afromexicanas, a través del diálogo y acuerdos, evalúan internamente la medida que les afectaría directamente.</w:t>
      </w:r>
    </w:p>
    <w:p w14:paraId="15AA3F3A" w14:textId="77777777" w:rsidR="006A6C3B" w:rsidRPr="00F868F4" w:rsidRDefault="006A6C3B" w:rsidP="006A6C3B">
      <w:pPr>
        <w:pStyle w:val="corte4fondo"/>
        <w:numPr>
          <w:ilvl w:val="2"/>
          <w:numId w:val="13"/>
        </w:numPr>
        <w:tabs>
          <w:tab w:val="left" w:pos="567"/>
        </w:tabs>
        <w:spacing w:after="240"/>
        <w:ind w:left="1276" w:hanging="567"/>
        <w:rPr>
          <w:rFonts w:cs="Arial"/>
          <w:bCs/>
          <w:sz w:val="28"/>
          <w:szCs w:val="28"/>
          <w:lang w:val="es-MX"/>
        </w:rPr>
      </w:pPr>
      <w:r w:rsidRPr="00F868F4">
        <w:rPr>
          <w:rFonts w:cs="Arial"/>
          <w:b/>
          <w:sz w:val="28"/>
          <w:szCs w:val="28"/>
          <w:lang w:val="es-MX"/>
        </w:rPr>
        <w:lastRenderedPageBreak/>
        <w:t>Fase de diálogo</w:t>
      </w:r>
      <w:r w:rsidRPr="00F868F4">
        <w:rPr>
          <w:rFonts w:cs="Arial"/>
          <w:sz w:val="28"/>
          <w:szCs w:val="28"/>
          <w:lang w:val="es-MX"/>
        </w:rPr>
        <w:t xml:space="preserve"> entre representantes del Estado y representantes de los pueblos indígenas y afromexicanas con la finalidad de generar acuerdos.</w:t>
      </w:r>
    </w:p>
    <w:p w14:paraId="3F485BC7" w14:textId="77777777" w:rsidR="006A6C3B" w:rsidRPr="00F868F4" w:rsidRDefault="006A6C3B" w:rsidP="006A6C3B">
      <w:pPr>
        <w:pStyle w:val="corte4fondo"/>
        <w:numPr>
          <w:ilvl w:val="2"/>
          <w:numId w:val="13"/>
        </w:numPr>
        <w:tabs>
          <w:tab w:val="left" w:pos="567"/>
        </w:tabs>
        <w:spacing w:after="240"/>
        <w:ind w:left="1276" w:hanging="567"/>
        <w:rPr>
          <w:rFonts w:cs="Arial"/>
          <w:bCs/>
          <w:sz w:val="28"/>
          <w:szCs w:val="28"/>
          <w:lang w:val="es-MX"/>
        </w:rPr>
      </w:pPr>
      <w:r w:rsidRPr="00F868F4">
        <w:rPr>
          <w:b/>
          <w:sz w:val="28"/>
          <w:szCs w:val="28"/>
          <w:lang w:val="es-MX"/>
        </w:rPr>
        <w:t>Fase de decisión</w:t>
      </w:r>
      <w:r w:rsidRPr="00F868F4">
        <w:rPr>
          <w:sz w:val="28"/>
          <w:szCs w:val="28"/>
          <w:lang w:val="es-MX"/>
        </w:rPr>
        <w:t>, comunicación de resultados y entrega de dictamen.</w:t>
      </w:r>
    </w:p>
    <w:p w14:paraId="55F5B49D" w14:textId="77777777" w:rsidR="006A6C3B" w:rsidRPr="00F868F4" w:rsidRDefault="006A6C3B" w:rsidP="006A6C3B">
      <w:pPr>
        <w:pStyle w:val="Prrafo"/>
        <w:numPr>
          <w:ilvl w:val="0"/>
          <w:numId w:val="1"/>
        </w:numPr>
        <w:ind w:left="0" w:hanging="567"/>
        <w:rPr>
          <w:sz w:val="28"/>
          <w:szCs w:val="28"/>
        </w:rPr>
      </w:pPr>
      <w:r w:rsidRPr="00F868F4">
        <w:rPr>
          <w:bCs/>
          <w:sz w:val="28"/>
          <w:szCs w:val="28"/>
        </w:rPr>
        <w:t>En estos casos, el Tribunal Pleno ha explicado que, para el efecto de determinar la invalidez de una norma general por vulnerar el derecho a la consulta de los pueblos y de las comunidades indígenas y afromexicanas, no es relevante si la medida es benéfica para ellos a juicio del órgano legislativo</w:t>
      </w:r>
      <w:r w:rsidRPr="00F868F4">
        <w:rPr>
          <w:vertAlign w:val="superscript"/>
        </w:rPr>
        <w:footnoteReference w:id="31"/>
      </w:r>
      <w:r w:rsidRPr="00F868F4">
        <w:rPr>
          <w:bCs/>
          <w:sz w:val="28"/>
          <w:szCs w:val="28"/>
        </w:rPr>
        <w:t xml:space="preserve">, en tanto que la consulta representa una garantía del derecho a la autodeterminación de estos pueblos y comunidades, </w:t>
      </w:r>
      <w:r w:rsidRPr="00F868F4">
        <w:rPr>
          <w:b/>
          <w:sz w:val="28"/>
          <w:szCs w:val="28"/>
        </w:rPr>
        <w:t>por lo que la afectación directa no puede tener una connotación exclusivamente negativa, sino que más bien se trata de una acepción más amplia que abarca la generación de cualquier efecto diferenciado en la particular situación de los pueblos y de las comunidades indígenas o afromexicanas a raíz de una decisión gubernamental</w:t>
      </w:r>
      <w:r w:rsidRPr="00F868F4">
        <w:rPr>
          <w:bCs/>
          <w:sz w:val="28"/>
          <w:szCs w:val="28"/>
        </w:rPr>
        <w:t>.</w:t>
      </w:r>
    </w:p>
    <w:p w14:paraId="4E1EC446" w14:textId="77777777" w:rsidR="006A6C3B" w:rsidRPr="00F868F4" w:rsidRDefault="006A6C3B" w:rsidP="006A6C3B">
      <w:pPr>
        <w:pStyle w:val="Prrafo"/>
        <w:numPr>
          <w:ilvl w:val="0"/>
          <w:numId w:val="1"/>
        </w:numPr>
        <w:ind w:left="0" w:hanging="567"/>
        <w:rPr>
          <w:sz w:val="28"/>
          <w:szCs w:val="28"/>
        </w:rPr>
      </w:pPr>
      <w:r w:rsidRPr="00F868F4">
        <w:rPr>
          <w:bCs/>
          <w:sz w:val="28"/>
          <w:szCs w:val="28"/>
        </w:rPr>
        <w:t>De esta manera, la consulta a los pueblos y a las comunidades indígenas debe realizarse mediante procedimientos culturalmente adecuados, libres, informados y de buena fe, a través de sus representantes, siempre que se prevean medidas legislativas susceptibles de afectarles directamente</w:t>
      </w:r>
      <w:r w:rsidRPr="00F868F4">
        <w:rPr>
          <w:bCs/>
          <w:sz w:val="28"/>
          <w:szCs w:val="28"/>
          <w:vertAlign w:val="superscript"/>
        </w:rPr>
        <w:footnoteReference w:id="32"/>
      </w:r>
      <w:r w:rsidRPr="00F868F4">
        <w:rPr>
          <w:bCs/>
          <w:sz w:val="28"/>
          <w:szCs w:val="28"/>
        </w:rPr>
        <w:t>.</w:t>
      </w:r>
    </w:p>
    <w:p w14:paraId="0D5C9816" w14:textId="77777777" w:rsidR="006A6C3B" w:rsidRPr="00F868F4" w:rsidRDefault="006A6C3B" w:rsidP="006A6C3B">
      <w:pPr>
        <w:pStyle w:val="Prrafo"/>
        <w:numPr>
          <w:ilvl w:val="0"/>
          <w:numId w:val="1"/>
        </w:numPr>
        <w:ind w:left="0" w:hanging="567"/>
        <w:rPr>
          <w:sz w:val="28"/>
          <w:szCs w:val="28"/>
        </w:rPr>
      </w:pPr>
      <w:r w:rsidRPr="00F868F4">
        <w:rPr>
          <w:bCs/>
          <w:sz w:val="28"/>
          <w:szCs w:val="28"/>
        </w:rPr>
        <w:lastRenderedPageBreak/>
        <w:t xml:space="preserve">La consulta se activa cuando existan cambios legislativos susceptibles de afectar directamente a los pueblos y/o comunidades indígenas y afromexicanas, reconociendo que, en parte, el objetivo de esa consulta es valorar qué es o qué no es lo que más les beneficia. Por lo tanto, </w:t>
      </w:r>
      <w:r w:rsidRPr="00F868F4">
        <w:rPr>
          <w:b/>
          <w:sz w:val="28"/>
          <w:szCs w:val="28"/>
        </w:rPr>
        <w:t>basta que se advierta que la normativa impugnada contenga modificaciones legislativas que incidan en los derechos de dichos pueblos y comunidades para exigir constitucionalmente, como requisito de validez, que se haya celebrado la consulta</w:t>
      </w:r>
      <w:r w:rsidRPr="00F868F4">
        <w:rPr>
          <w:bCs/>
          <w:sz w:val="28"/>
          <w:szCs w:val="28"/>
        </w:rPr>
        <w:t>.</w:t>
      </w:r>
    </w:p>
    <w:p w14:paraId="344331A0" w14:textId="77777777" w:rsidR="006A6C3B" w:rsidRPr="00F868F4" w:rsidRDefault="006A6C3B" w:rsidP="006A6C3B">
      <w:pPr>
        <w:pStyle w:val="Prrafo"/>
        <w:numPr>
          <w:ilvl w:val="0"/>
          <w:numId w:val="1"/>
        </w:numPr>
        <w:ind w:left="0" w:hanging="567"/>
        <w:rPr>
          <w:sz w:val="28"/>
          <w:szCs w:val="28"/>
        </w:rPr>
      </w:pPr>
      <w:r w:rsidRPr="00F868F4">
        <w:rPr>
          <w:bCs/>
          <w:sz w:val="28"/>
          <w:szCs w:val="28"/>
        </w:rPr>
        <w:t>Los Congresos locales, en el proceso de creación de las leyes, tienen el deber de consultar a los representantes de los pueblos y a las comunidades indígenas, cuando se trate de medidas legislativas susceptibles de afectarles directamente.</w:t>
      </w:r>
    </w:p>
    <w:p w14:paraId="10D3925B" w14:textId="77777777" w:rsidR="006A6C3B" w:rsidRPr="00F868F4" w:rsidRDefault="006A6C3B" w:rsidP="006A6C3B">
      <w:pPr>
        <w:pStyle w:val="Prrafo"/>
        <w:numPr>
          <w:ilvl w:val="0"/>
          <w:numId w:val="1"/>
        </w:numPr>
        <w:ind w:left="0" w:hanging="567"/>
        <w:rPr>
          <w:sz w:val="28"/>
          <w:szCs w:val="28"/>
        </w:rPr>
      </w:pPr>
      <w:r w:rsidRPr="00F868F4">
        <w:rPr>
          <w:bCs/>
          <w:sz w:val="28"/>
          <w:szCs w:val="28"/>
        </w:rPr>
        <w:t xml:space="preserve">Ahora bien, en cuanto a los alcances de una vulneración a este derecho, debe partirse de lo determinado en la </w:t>
      </w:r>
      <w:r w:rsidRPr="00F868F4">
        <w:rPr>
          <w:b/>
          <w:sz w:val="28"/>
          <w:szCs w:val="28"/>
        </w:rPr>
        <w:t>acción de inconstitucionalidad 212/2020</w:t>
      </w:r>
      <w:r w:rsidRPr="00F868F4">
        <w:rPr>
          <w:bCs/>
          <w:sz w:val="28"/>
          <w:szCs w:val="28"/>
        </w:rPr>
        <w:t xml:space="preserve">, en la que el Pleno declaró la invalidez del Capítulo VI, denominado “De la educación indígena”, que se integra con los artículos </w:t>
      </w:r>
      <w:r w:rsidRPr="00F868F4">
        <w:rPr>
          <w:bCs/>
          <w:sz w:val="28"/>
          <w:szCs w:val="28"/>
        </w:rPr>
        <w:lastRenderedPageBreak/>
        <w:t>62 y 63 de la Ley de Educación para el Estado de Tlaxcala, expedida mediante el Decreto No. 208, al contener normas encaminadas a regular cuestiones relacionadas con la educación indígena; sin que se hubiera realizado la consulta previa exigida constitucionalmente</w:t>
      </w:r>
      <w:r w:rsidRPr="00F868F4">
        <w:rPr>
          <w:rStyle w:val="Refdenotaalpie"/>
          <w:bCs/>
          <w:sz w:val="28"/>
          <w:szCs w:val="28"/>
        </w:rPr>
        <w:footnoteReference w:id="33"/>
      </w:r>
      <w:r w:rsidRPr="00F868F4">
        <w:rPr>
          <w:bCs/>
          <w:sz w:val="28"/>
          <w:szCs w:val="28"/>
        </w:rPr>
        <w:t>.</w:t>
      </w:r>
    </w:p>
    <w:p w14:paraId="1FA26EA0" w14:textId="77777777" w:rsidR="006A6C3B" w:rsidRPr="00F868F4" w:rsidRDefault="006A6C3B" w:rsidP="006A6C3B">
      <w:pPr>
        <w:pStyle w:val="Prrafo"/>
        <w:numPr>
          <w:ilvl w:val="0"/>
          <w:numId w:val="1"/>
        </w:numPr>
        <w:ind w:left="0" w:hanging="567"/>
        <w:rPr>
          <w:sz w:val="28"/>
          <w:szCs w:val="28"/>
        </w:rPr>
      </w:pPr>
      <w:r w:rsidRPr="00F868F4">
        <w:rPr>
          <w:bCs/>
          <w:sz w:val="28"/>
          <w:szCs w:val="28"/>
        </w:rPr>
        <w:t>Dicho asunto constituye un importante precedente ya que generó una evolución del criterio que había sostenido el Pleno en el sentido de que, en el supuesto de leyes que no son exclusivas o específicas en regular los intereses y/o derechos de personas indígenas, la falta de consulta previa no implica la invalidez de la totalidad del decreto.</w:t>
      </w:r>
    </w:p>
    <w:p w14:paraId="276B2B7E" w14:textId="62080333" w:rsidR="00D27DE7" w:rsidRPr="00F868F4" w:rsidRDefault="006A6C3B" w:rsidP="006A6C3B">
      <w:pPr>
        <w:pStyle w:val="Prrafo"/>
        <w:numPr>
          <w:ilvl w:val="0"/>
          <w:numId w:val="1"/>
        </w:numPr>
        <w:ind w:left="0" w:hanging="567"/>
        <w:rPr>
          <w:sz w:val="28"/>
          <w:szCs w:val="28"/>
        </w:rPr>
      </w:pPr>
      <w:r w:rsidRPr="00F868F4">
        <w:rPr>
          <w:bCs/>
          <w:sz w:val="28"/>
          <w:szCs w:val="28"/>
        </w:rPr>
        <w:t>Es decir, en los supuestos en que no se lleve a cabo la consulta referida, respecto de legislación que no es específica o exclusiva para estos grupos, el vicio en el proceso legislativo que le da origen no tiene potencial invalidante de la totalidad de la ley, pero sí de determinados artículos.</w:t>
      </w:r>
      <w:r w:rsidRPr="00F868F4">
        <w:rPr>
          <w:sz w:val="28"/>
          <w:szCs w:val="28"/>
        </w:rPr>
        <w:t xml:space="preserve"> </w:t>
      </w:r>
      <w:r w:rsidRPr="00F868F4">
        <w:rPr>
          <w:bCs/>
          <w:sz w:val="28"/>
          <w:szCs w:val="28"/>
        </w:rPr>
        <w:t>Ese criterio ha sido reiterado por este Tribunal Pleno en las acciones de inconstitucionalidad 193/2020</w:t>
      </w:r>
      <w:r w:rsidRPr="00F868F4">
        <w:rPr>
          <w:rStyle w:val="Refdenotaalpie"/>
          <w:bCs/>
          <w:sz w:val="28"/>
          <w:szCs w:val="28"/>
        </w:rPr>
        <w:footnoteReference w:id="34"/>
      </w:r>
      <w:r w:rsidRPr="00F868F4">
        <w:rPr>
          <w:bCs/>
          <w:sz w:val="28"/>
          <w:szCs w:val="28"/>
        </w:rPr>
        <w:t>, 179/2020</w:t>
      </w:r>
      <w:r w:rsidRPr="00F868F4">
        <w:rPr>
          <w:rStyle w:val="Refdenotaalpie"/>
          <w:bCs/>
          <w:sz w:val="28"/>
          <w:szCs w:val="28"/>
        </w:rPr>
        <w:footnoteReference w:id="35"/>
      </w:r>
      <w:r w:rsidRPr="00F868F4">
        <w:rPr>
          <w:bCs/>
          <w:sz w:val="28"/>
          <w:szCs w:val="28"/>
        </w:rPr>
        <w:t>, 214/2020</w:t>
      </w:r>
      <w:r w:rsidRPr="00F868F4">
        <w:rPr>
          <w:rStyle w:val="Refdenotaalpie"/>
          <w:bCs/>
          <w:sz w:val="28"/>
          <w:szCs w:val="28"/>
        </w:rPr>
        <w:footnoteReference w:id="36"/>
      </w:r>
      <w:r w:rsidRPr="00F868F4">
        <w:rPr>
          <w:bCs/>
          <w:sz w:val="28"/>
          <w:szCs w:val="28"/>
        </w:rPr>
        <w:t xml:space="preserve">, 131/2020 y su </w:t>
      </w:r>
      <w:r w:rsidRPr="00F868F4">
        <w:rPr>
          <w:bCs/>
          <w:sz w:val="28"/>
          <w:szCs w:val="28"/>
        </w:rPr>
        <w:lastRenderedPageBreak/>
        <w:t>acumulada 186/2020</w:t>
      </w:r>
      <w:r w:rsidRPr="00F868F4">
        <w:rPr>
          <w:rStyle w:val="Refdenotaalpie"/>
          <w:bCs/>
          <w:sz w:val="28"/>
          <w:szCs w:val="28"/>
        </w:rPr>
        <w:footnoteReference w:id="37"/>
      </w:r>
      <w:r w:rsidRPr="00F868F4">
        <w:rPr>
          <w:bCs/>
          <w:sz w:val="28"/>
          <w:szCs w:val="28"/>
        </w:rPr>
        <w:t>, 121/2019</w:t>
      </w:r>
      <w:r w:rsidRPr="00F868F4">
        <w:rPr>
          <w:rStyle w:val="Refdenotaalpie"/>
          <w:bCs/>
          <w:sz w:val="28"/>
          <w:szCs w:val="28"/>
        </w:rPr>
        <w:footnoteReference w:id="38"/>
      </w:r>
      <w:r w:rsidRPr="00F868F4">
        <w:rPr>
          <w:bCs/>
          <w:sz w:val="28"/>
          <w:szCs w:val="28"/>
        </w:rPr>
        <w:t>, 299/2020</w:t>
      </w:r>
      <w:r w:rsidRPr="00F868F4">
        <w:rPr>
          <w:rStyle w:val="Refdenotaalpie"/>
          <w:bCs/>
          <w:sz w:val="28"/>
          <w:szCs w:val="28"/>
        </w:rPr>
        <w:footnoteReference w:id="39"/>
      </w:r>
      <w:r w:rsidRPr="00F868F4">
        <w:rPr>
          <w:bCs/>
          <w:sz w:val="28"/>
          <w:szCs w:val="28"/>
        </w:rPr>
        <w:t>, 18/2021</w:t>
      </w:r>
      <w:r w:rsidRPr="00F868F4">
        <w:rPr>
          <w:rStyle w:val="Refdenotaalpie"/>
          <w:bCs/>
          <w:sz w:val="28"/>
          <w:szCs w:val="28"/>
        </w:rPr>
        <w:footnoteReference w:id="40"/>
      </w:r>
      <w:r w:rsidR="00A12D13" w:rsidRPr="00F868F4">
        <w:rPr>
          <w:bCs/>
          <w:sz w:val="28"/>
          <w:szCs w:val="28"/>
        </w:rPr>
        <w:t>,</w:t>
      </w:r>
      <w:r w:rsidRPr="00F868F4">
        <w:rPr>
          <w:bCs/>
          <w:sz w:val="28"/>
          <w:szCs w:val="28"/>
        </w:rPr>
        <w:t xml:space="preserve"> 71/2021</w:t>
      </w:r>
      <w:r w:rsidRPr="00F868F4">
        <w:rPr>
          <w:rStyle w:val="Refdenotaalpie"/>
          <w:bCs/>
          <w:sz w:val="28"/>
          <w:szCs w:val="28"/>
        </w:rPr>
        <w:footnoteReference w:id="41"/>
      </w:r>
      <w:r w:rsidR="00A12D13" w:rsidRPr="00F868F4">
        <w:rPr>
          <w:bCs/>
          <w:sz w:val="28"/>
          <w:szCs w:val="28"/>
        </w:rPr>
        <w:t>, entre otr</w:t>
      </w:r>
      <w:r w:rsidR="006405F0" w:rsidRPr="00F868F4">
        <w:rPr>
          <w:bCs/>
          <w:sz w:val="28"/>
          <w:szCs w:val="28"/>
        </w:rPr>
        <w:t>a</w:t>
      </w:r>
      <w:r w:rsidR="00A12D13" w:rsidRPr="00F868F4">
        <w:rPr>
          <w:bCs/>
          <w:sz w:val="28"/>
          <w:szCs w:val="28"/>
        </w:rPr>
        <w:t>s</w:t>
      </w:r>
      <w:r w:rsidR="005E6224" w:rsidRPr="00F868F4">
        <w:rPr>
          <w:bCs/>
          <w:sz w:val="28"/>
          <w:szCs w:val="28"/>
        </w:rPr>
        <w:t xml:space="preserve"> más recientes</w:t>
      </w:r>
      <w:r w:rsidRPr="00F868F4">
        <w:rPr>
          <w:bCs/>
          <w:sz w:val="28"/>
          <w:szCs w:val="28"/>
        </w:rPr>
        <w:t>.</w:t>
      </w:r>
    </w:p>
    <w:p w14:paraId="06D4BDE8" w14:textId="0321168F" w:rsidR="006A6C3B" w:rsidRPr="00F868F4" w:rsidRDefault="006A6C3B" w:rsidP="006A6C3B">
      <w:pPr>
        <w:pStyle w:val="Prrafo"/>
        <w:numPr>
          <w:ilvl w:val="0"/>
          <w:numId w:val="1"/>
        </w:numPr>
        <w:ind w:left="0" w:hanging="567"/>
        <w:rPr>
          <w:sz w:val="28"/>
          <w:szCs w:val="28"/>
        </w:rPr>
      </w:pPr>
      <w:r w:rsidRPr="00F868F4">
        <w:rPr>
          <w:bCs/>
          <w:sz w:val="28"/>
          <w:szCs w:val="28"/>
        </w:rPr>
        <w:t xml:space="preserve">Con base en los precedentes citados, este alto tribunal considera que </w:t>
      </w:r>
      <w:r w:rsidRPr="00F868F4">
        <w:rPr>
          <w:sz w:val="28"/>
          <w:szCs w:val="28"/>
        </w:rPr>
        <w:t>la consulta indígena y afromexicana se erige como un parámetro de control constitucional en dos vertientes:</w:t>
      </w:r>
      <w:r w:rsidRPr="00F868F4">
        <w:rPr>
          <w:bCs/>
          <w:sz w:val="28"/>
          <w:szCs w:val="28"/>
        </w:rPr>
        <w:t xml:space="preserve"> </w:t>
      </w:r>
      <w:r w:rsidRPr="00F868F4">
        <w:rPr>
          <w:b/>
          <w:sz w:val="28"/>
          <w:szCs w:val="28"/>
        </w:rPr>
        <w:t>i)</w:t>
      </w:r>
      <w:r w:rsidRPr="00F868F4">
        <w:rPr>
          <w:bCs/>
          <w:sz w:val="28"/>
          <w:szCs w:val="28"/>
        </w:rPr>
        <w:t xml:space="preserve"> </w:t>
      </w:r>
      <w:r w:rsidRPr="00F868F4">
        <w:rPr>
          <w:sz w:val="28"/>
          <w:szCs w:val="28"/>
        </w:rPr>
        <w:t>como derecho sustantivo, cuya violación puede ser reclamada respecto de un contenido normativo, o</w:t>
      </w:r>
      <w:r w:rsidRPr="00F868F4">
        <w:rPr>
          <w:bCs/>
          <w:sz w:val="28"/>
          <w:szCs w:val="28"/>
        </w:rPr>
        <w:t xml:space="preserve"> bien, </w:t>
      </w:r>
      <w:r w:rsidRPr="00F868F4">
        <w:rPr>
          <w:b/>
          <w:sz w:val="28"/>
          <w:szCs w:val="28"/>
        </w:rPr>
        <w:t>ii)</w:t>
      </w:r>
      <w:r w:rsidRPr="00F868F4">
        <w:rPr>
          <w:bCs/>
          <w:sz w:val="28"/>
          <w:szCs w:val="28"/>
        </w:rPr>
        <w:t xml:space="preserve"> </w:t>
      </w:r>
      <w:r w:rsidRPr="00F868F4">
        <w:rPr>
          <w:sz w:val="28"/>
          <w:szCs w:val="28"/>
        </w:rPr>
        <w:t>como requisito constitucional del procedimiento legislativo, en cuyo caso puede analizarse en acción de inconstitucionalidad, como una violación al procedimiento legislativo.</w:t>
      </w:r>
    </w:p>
    <w:p w14:paraId="2CD1F438" w14:textId="76720F63" w:rsidR="00F81514" w:rsidRPr="00100E34" w:rsidRDefault="00F81514" w:rsidP="00D27DE7">
      <w:pPr>
        <w:pStyle w:val="Prrafo"/>
        <w:jc w:val="center"/>
        <w:rPr>
          <w:b/>
          <w:bCs/>
          <w:sz w:val="28"/>
          <w:szCs w:val="28"/>
        </w:rPr>
      </w:pPr>
      <w:r w:rsidRPr="00100E34">
        <w:rPr>
          <w:b/>
          <w:sz w:val="28"/>
          <w:szCs w:val="28"/>
          <w:lang w:eastAsia="es-ES"/>
        </w:rPr>
        <w:t>B)</w:t>
      </w:r>
      <w:r w:rsidRPr="00100E34">
        <w:rPr>
          <w:b/>
          <w:i/>
          <w:iCs/>
          <w:sz w:val="28"/>
          <w:szCs w:val="28"/>
          <w:lang w:eastAsia="es-ES"/>
        </w:rPr>
        <w:t xml:space="preserve"> </w:t>
      </w:r>
      <w:r w:rsidRPr="00100E34">
        <w:rPr>
          <w:b/>
          <w:sz w:val="28"/>
          <w:szCs w:val="28"/>
          <w:lang w:eastAsia="es-ES"/>
        </w:rPr>
        <w:t>Análisis de constitucionalidad del decreto impugnado</w:t>
      </w:r>
    </w:p>
    <w:p w14:paraId="0C865B1B" w14:textId="03E06E5E" w:rsidR="00D27DE7" w:rsidRPr="00F868F4" w:rsidRDefault="004968F6" w:rsidP="006A6C3B">
      <w:pPr>
        <w:pStyle w:val="Prrafo"/>
        <w:numPr>
          <w:ilvl w:val="0"/>
          <w:numId w:val="1"/>
        </w:numPr>
        <w:ind w:left="0" w:hanging="567"/>
        <w:rPr>
          <w:sz w:val="28"/>
          <w:szCs w:val="28"/>
        </w:rPr>
      </w:pPr>
      <w:r w:rsidRPr="00F868F4">
        <w:rPr>
          <w:sz w:val="28"/>
          <w:szCs w:val="28"/>
        </w:rPr>
        <w:t xml:space="preserve">Para responder </w:t>
      </w:r>
      <w:r w:rsidR="00504F4A" w:rsidRPr="00F868F4">
        <w:rPr>
          <w:sz w:val="28"/>
          <w:szCs w:val="28"/>
        </w:rPr>
        <w:t>al</w:t>
      </w:r>
      <w:r w:rsidRPr="00F868F4">
        <w:rPr>
          <w:sz w:val="28"/>
          <w:szCs w:val="28"/>
        </w:rPr>
        <w:t xml:space="preserve"> cuestionamiento del partido promovente se debe definir como primer punto si las modificaciones </w:t>
      </w:r>
      <w:r w:rsidR="008F3147" w:rsidRPr="00F868F4">
        <w:rPr>
          <w:sz w:val="28"/>
          <w:szCs w:val="28"/>
        </w:rPr>
        <w:t xml:space="preserve">normativas </w:t>
      </w:r>
      <w:r w:rsidRPr="00F868F4">
        <w:rPr>
          <w:sz w:val="28"/>
          <w:szCs w:val="28"/>
        </w:rPr>
        <w:t>llevadas a cabo mediante el Decreto núm. 1624</w:t>
      </w:r>
      <w:r w:rsidR="003A576E" w:rsidRPr="00F868F4">
        <w:rPr>
          <w:sz w:val="28"/>
          <w:szCs w:val="28"/>
        </w:rPr>
        <w:t xml:space="preserve"> </w:t>
      </w:r>
      <w:r w:rsidR="00C90AE4" w:rsidRPr="00F868F4">
        <w:rPr>
          <w:sz w:val="28"/>
          <w:szCs w:val="28"/>
        </w:rPr>
        <w:t>son susceptibles de impactar</w:t>
      </w:r>
      <w:r w:rsidR="008D3FD3" w:rsidRPr="00F868F4">
        <w:rPr>
          <w:sz w:val="28"/>
          <w:szCs w:val="28"/>
        </w:rPr>
        <w:t>,</w:t>
      </w:r>
      <w:r w:rsidR="0002331F" w:rsidRPr="00F868F4">
        <w:rPr>
          <w:sz w:val="28"/>
          <w:szCs w:val="28"/>
        </w:rPr>
        <w:t xml:space="preserve"> de forma específica y diferenciada</w:t>
      </w:r>
      <w:r w:rsidR="008D3FD3" w:rsidRPr="00F868F4">
        <w:rPr>
          <w:sz w:val="28"/>
          <w:szCs w:val="28"/>
        </w:rPr>
        <w:t>,</w:t>
      </w:r>
      <w:r w:rsidR="0002331F" w:rsidRPr="00F868F4">
        <w:rPr>
          <w:sz w:val="28"/>
          <w:szCs w:val="28"/>
        </w:rPr>
        <w:t xml:space="preserve"> en los derechos e intereses de las comunidades indígenas y si, como consecuencia, el órgano legislativo estaba vinculado </w:t>
      </w:r>
      <w:r w:rsidR="0002331F" w:rsidRPr="00F868F4">
        <w:rPr>
          <w:sz w:val="28"/>
          <w:szCs w:val="28"/>
        </w:rPr>
        <w:lastRenderedPageBreak/>
        <w:t>a consultarles, de conformidad con los parámetros mínimos desarrollados en la jurisprudencia de esta Suprema Corte.</w:t>
      </w:r>
    </w:p>
    <w:p w14:paraId="28A3419B" w14:textId="03DB115D" w:rsidR="00E8546A" w:rsidRPr="00F868F4" w:rsidRDefault="00E8546A" w:rsidP="00E8546A">
      <w:pPr>
        <w:pStyle w:val="Prrafo"/>
        <w:numPr>
          <w:ilvl w:val="0"/>
          <w:numId w:val="1"/>
        </w:numPr>
        <w:ind w:left="0" w:hanging="567"/>
        <w:rPr>
          <w:sz w:val="28"/>
          <w:szCs w:val="28"/>
        </w:rPr>
      </w:pPr>
      <w:r w:rsidRPr="00F868F4">
        <w:rPr>
          <w:sz w:val="28"/>
          <w:szCs w:val="28"/>
        </w:rPr>
        <w:t>En relación con la materia electoral, este Tribunal Pleno cuenta con diversos precedentes en los que ha identificado algunos supuestos en los cuales determinadas medidas legislativas claramente son susceptibles de afectar en los derechos de autodeterminación y de participación política de los pueblos y comunidades indígenas,</w:t>
      </w:r>
      <w:r w:rsidR="00FB28DD" w:rsidRPr="00F868F4">
        <w:rPr>
          <w:sz w:val="28"/>
          <w:szCs w:val="28"/>
        </w:rPr>
        <w:t xml:space="preserve"> </w:t>
      </w:r>
      <w:r w:rsidRPr="00F868F4">
        <w:rPr>
          <w:sz w:val="28"/>
          <w:szCs w:val="28"/>
        </w:rPr>
        <w:t xml:space="preserve">y las ha distinguido de otro tipo de normas que regulan aspectos generales de los procesos electorales y de los partidos políticos, respecto a los cuales se ha concluido que no se advierte una incidencia particular en relación con dicho </w:t>
      </w:r>
      <w:r w:rsidR="00E02574" w:rsidRPr="00F868F4">
        <w:rPr>
          <w:sz w:val="28"/>
          <w:szCs w:val="28"/>
        </w:rPr>
        <w:t>colectivo</w:t>
      </w:r>
      <w:r w:rsidRPr="00F868F4">
        <w:rPr>
          <w:sz w:val="28"/>
          <w:szCs w:val="28"/>
        </w:rPr>
        <w:t>.</w:t>
      </w:r>
    </w:p>
    <w:p w14:paraId="1A18902F" w14:textId="77777777" w:rsidR="00E8546A" w:rsidRPr="00F868F4" w:rsidRDefault="00E8546A" w:rsidP="00E8546A">
      <w:pPr>
        <w:pStyle w:val="Prrafo"/>
        <w:numPr>
          <w:ilvl w:val="0"/>
          <w:numId w:val="2"/>
        </w:numPr>
        <w:ind w:left="0" w:hanging="567"/>
        <w:rPr>
          <w:sz w:val="28"/>
          <w:szCs w:val="28"/>
        </w:rPr>
      </w:pPr>
      <w:r w:rsidRPr="00F868F4">
        <w:rPr>
          <w:sz w:val="28"/>
          <w:szCs w:val="28"/>
        </w:rPr>
        <w:t>Por ejemplo, cuando los órganos legislativos han adoptado medidas afirmativas en favor de las personas pertenecientes a comunidades indígenas u otros grupos en situación de vulnerabilidad, tales como mecanismos dirigidos a garantizar que sean postuladas para ciertos cargos de elección popular o su representatividad en los congresos y ayuntamientos, se ha considerado que estas normas tienen el potencial de incidir directamente en los derechos político-electorales de estos grupos y, por ende, se ha determinado que existía la obligación de llevar a cabo una consulta previa</w:t>
      </w:r>
      <w:r w:rsidRPr="00F868F4">
        <w:rPr>
          <w:rStyle w:val="Refdenotaalpie"/>
          <w:sz w:val="28"/>
          <w:szCs w:val="28"/>
        </w:rPr>
        <w:footnoteReference w:id="42"/>
      </w:r>
      <w:r w:rsidRPr="00F868F4">
        <w:rPr>
          <w:sz w:val="28"/>
          <w:szCs w:val="28"/>
        </w:rPr>
        <w:t>.</w:t>
      </w:r>
    </w:p>
    <w:p w14:paraId="3B600961" w14:textId="77777777" w:rsidR="00E8546A" w:rsidRPr="00F868F4" w:rsidRDefault="00E8546A" w:rsidP="00E8546A">
      <w:pPr>
        <w:pStyle w:val="Prrafo"/>
        <w:numPr>
          <w:ilvl w:val="0"/>
          <w:numId w:val="2"/>
        </w:numPr>
        <w:ind w:left="0" w:hanging="567"/>
        <w:rPr>
          <w:sz w:val="28"/>
          <w:szCs w:val="28"/>
        </w:rPr>
      </w:pPr>
      <w:r w:rsidRPr="00F868F4">
        <w:rPr>
          <w:sz w:val="28"/>
          <w:szCs w:val="28"/>
        </w:rPr>
        <w:t xml:space="preserve">Esa misma conclusión se ha alcanzado tratándose del reconocimiento y de la regulación de la elección de representantes de los pueblos y </w:t>
      </w:r>
      <w:r w:rsidRPr="00F868F4">
        <w:rPr>
          <w:sz w:val="28"/>
          <w:szCs w:val="28"/>
        </w:rPr>
        <w:lastRenderedPageBreak/>
        <w:t>comunidades indígenas ante los ayuntamientos, de la organización de sus formas de gobierno interno y de otras modalidades de participación política de estos colectivos</w:t>
      </w:r>
      <w:r w:rsidRPr="00F868F4">
        <w:rPr>
          <w:rStyle w:val="Refdenotaalpie"/>
          <w:sz w:val="28"/>
          <w:szCs w:val="28"/>
        </w:rPr>
        <w:footnoteReference w:id="43"/>
      </w:r>
      <w:r w:rsidRPr="00F868F4">
        <w:rPr>
          <w:sz w:val="28"/>
          <w:szCs w:val="28"/>
        </w:rPr>
        <w:t>.</w:t>
      </w:r>
    </w:p>
    <w:p w14:paraId="6E54B1D1" w14:textId="77777777" w:rsidR="00E8546A" w:rsidRPr="00F868F4" w:rsidRDefault="00E8546A" w:rsidP="00E8546A">
      <w:pPr>
        <w:pStyle w:val="Prrafo"/>
        <w:numPr>
          <w:ilvl w:val="0"/>
          <w:numId w:val="2"/>
        </w:numPr>
        <w:ind w:left="0" w:hanging="567"/>
        <w:rPr>
          <w:sz w:val="28"/>
          <w:szCs w:val="28"/>
        </w:rPr>
      </w:pPr>
      <w:r w:rsidRPr="00F868F4">
        <w:rPr>
          <w:sz w:val="28"/>
          <w:szCs w:val="28"/>
        </w:rPr>
        <w:t>En cambio, este alto tribunal ha establecido que la regulación de aspectos orgánicos de las instituciones públicas, como lo son los requisitos y procedimientos para la designación de las personas titulares de las contralorías u órganos internos de control, no genera un impacto significativo o diferenciado para las comunidades indígenas o afromexicanas. Se precisó que, si bien la legitimidad en el nombramiento de quienes desempeñan un servicio público es una cuestión de interés público, con la regulación se afecta de manera uniforme a toda la ciudadanía de la entidad federativa, independientemente de su autoadscripción o pertenencia a alguna de estas comunidades</w:t>
      </w:r>
      <w:r w:rsidRPr="00F868F4">
        <w:rPr>
          <w:rStyle w:val="Refdenotaalpie"/>
          <w:sz w:val="28"/>
          <w:szCs w:val="28"/>
        </w:rPr>
        <w:footnoteReference w:id="44"/>
      </w:r>
      <w:r w:rsidRPr="00F868F4">
        <w:rPr>
          <w:sz w:val="28"/>
          <w:szCs w:val="28"/>
        </w:rPr>
        <w:t>. En consecuencia, se desestimó la existencia de la obligación de realizar una consulta previa.</w:t>
      </w:r>
    </w:p>
    <w:p w14:paraId="54ECF903" w14:textId="77777777" w:rsidR="0053645F" w:rsidRPr="00F868F4" w:rsidRDefault="00E8546A" w:rsidP="00E8546A">
      <w:pPr>
        <w:pStyle w:val="Prrafo"/>
        <w:numPr>
          <w:ilvl w:val="0"/>
          <w:numId w:val="2"/>
        </w:numPr>
        <w:ind w:left="0" w:hanging="567"/>
        <w:rPr>
          <w:sz w:val="28"/>
          <w:szCs w:val="28"/>
        </w:rPr>
      </w:pPr>
      <w:r w:rsidRPr="00F868F4">
        <w:rPr>
          <w:sz w:val="28"/>
          <w:szCs w:val="28"/>
        </w:rPr>
        <w:t xml:space="preserve">Misma consideración se sostuvo al valorar la constitucionalidad de una reforma mediante la cual se establecía una reestructura organizacional del Instituto Electoral de la Ciudad de México, pues no se preveían </w:t>
      </w:r>
      <w:r w:rsidR="00C6552D" w:rsidRPr="00F868F4">
        <w:rPr>
          <w:bCs/>
          <w:sz w:val="28"/>
          <w:szCs w:val="28"/>
        </w:rPr>
        <w:t>—</w:t>
      </w:r>
      <w:r w:rsidRPr="00F868F4">
        <w:rPr>
          <w:sz w:val="28"/>
          <w:szCs w:val="28"/>
        </w:rPr>
        <w:t>en general</w:t>
      </w:r>
      <w:r w:rsidR="00C6552D" w:rsidRPr="00F868F4">
        <w:rPr>
          <w:bCs/>
          <w:sz w:val="28"/>
          <w:szCs w:val="28"/>
        </w:rPr>
        <w:t>—</w:t>
      </w:r>
      <w:r w:rsidRPr="00F868F4">
        <w:rPr>
          <w:sz w:val="28"/>
          <w:szCs w:val="28"/>
        </w:rPr>
        <w:t xml:space="preserve"> prerrogativas o reglas especiales dirigidas a los pueblos y barrios originarios y comunidades indígenas</w:t>
      </w:r>
      <w:r w:rsidRPr="00F868F4">
        <w:rPr>
          <w:rStyle w:val="Refdenotaalpie"/>
          <w:sz w:val="28"/>
          <w:szCs w:val="28"/>
        </w:rPr>
        <w:footnoteReference w:id="45"/>
      </w:r>
      <w:r w:rsidRPr="00F868F4">
        <w:rPr>
          <w:sz w:val="28"/>
          <w:szCs w:val="28"/>
        </w:rPr>
        <w:t>.</w:t>
      </w:r>
    </w:p>
    <w:p w14:paraId="50F433F0" w14:textId="28207305" w:rsidR="00E8546A" w:rsidRPr="00F868F4" w:rsidRDefault="00E8546A" w:rsidP="00E8546A">
      <w:pPr>
        <w:pStyle w:val="Prrafo"/>
        <w:numPr>
          <w:ilvl w:val="0"/>
          <w:numId w:val="2"/>
        </w:numPr>
        <w:ind w:left="0" w:hanging="567"/>
        <w:rPr>
          <w:sz w:val="28"/>
          <w:szCs w:val="28"/>
        </w:rPr>
      </w:pPr>
      <w:r w:rsidRPr="00F868F4">
        <w:rPr>
          <w:sz w:val="28"/>
          <w:szCs w:val="28"/>
        </w:rPr>
        <w:lastRenderedPageBreak/>
        <w:t xml:space="preserve">Bajo </w:t>
      </w:r>
      <w:r w:rsidR="0053645F" w:rsidRPr="00F868F4">
        <w:rPr>
          <w:sz w:val="28"/>
          <w:szCs w:val="28"/>
        </w:rPr>
        <w:t>el mismo</w:t>
      </w:r>
      <w:r w:rsidRPr="00F868F4">
        <w:rPr>
          <w:sz w:val="28"/>
          <w:szCs w:val="28"/>
        </w:rPr>
        <w:t xml:space="preserve"> enfoque, en relación con el régimen para determinar el financiamiento público al que pueden acceder los partidos políticos nacionales en una entidad federativa, este Tribunal Pleno consideró que no se establecía algún tipo de prerrogativa o regla especial dirigida a los pueblos y comunidades indígenas. A pesar de que la regulación podría incluir a este grupo, no se advirtió que se ubicaran en una especial situación frente al orden jurídico como para que ejercieran su derecho a ser consultadas durante el procedimiento legislativo</w:t>
      </w:r>
      <w:r w:rsidRPr="00F868F4">
        <w:rPr>
          <w:rStyle w:val="Refdenotaalpie"/>
          <w:sz w:val="28"/>
          <w:szCs w:val="28"/>
        </w:rPr>
        <w:footnoteReference w:id="46"/>
      </w:r>
      <w:r w:rsidRPr="00F868F4">
        <w:rPr>
          <w:sz w:val="28"/>
          <w:szCs w:val="28"/>
        </w:rPr>
        <w:t>.</w:t>
      </w:r>
    </w:p>
    <w:p w14:paraId="0B50BA68" w14:textId="0E71E4D9" w:rsidR="00ED0068" w:rsidRPr="00F868F4" w:rsidRDefault="001B64CF">
      <w:pPr>
        <w:pStyle w:val="Prrafo"/>
        <w:numPr>
          <w:ilvl w:val="0"/>
          <w:numId w:val="2"/>
        </w:numPr>
        <w:ind w:left="0" w:hanging="567"/>
        <w:rPr>
          <w:sz w:val="28"/>
          <w:szCs w:val="28"/>
        </w:rPr>
      </w:pPr>
      <w:r w:rsidRPr="00F868F4">
        <w:rPr>
          <w:sz w:val="28"/>
          <w:szCs w:val="28"/>
        </w:rPr>
        <w:t>E</w:t>
      </w:r>
      <w:r w:rsidR="00A570EC" w:rsidRPr="00F868F4">
        <w:rPr>
          <w:sz w:val="28"/>
          <w:szCs w:val="28"/>
        </w:rPr>
        <w:t xml:space="preserve">n la </w:t>
      </w:r>
      <w:r w:rsidR="00A570EC" w:rsidRPr="00F868F4">
        <w:rPr>
          <w:b/>
          <w:bCs/>
          <w:sz w:val="28"/>
          <w:szCs w:val="28"/>
        </w:rPr>
        <w:t>acción de inconstitucionalidad 77/2023 y sus acumuladas 82/2023, 87/2023 y 95/2023</w:t>
      </w:r>
      <w:r w:rsidR="00CF4560" w:rsidRPr="00F868F4">
        <w:rPr>
          <w:rStyle w:val="Refdenotaalpie"/>
          <w:sz w:val="28"/>
          <w:szCs w:val="28"/>
        </w:rPr>
        <w:footnoteReference w:id="47"/>
      </w:r>
      <w:r w:rsidR="00A570EC" w:rsidRPr="00F868F4">
        <w:rPr>
          <w:sz w:val="28"/>
          <w:szCs w:val="28"/>
        </w:rPr>
        <w:t xml:space="preserve">, </w:t>
      </w:r>
      <w:r w:rsidR="003C2F9E" w:rsidRPr="00F868F4">
        <w:rPr>
          <w:sz w:val="28"/>
          <w:szCs w:val="28"/>
        </w:rPr>
        <w:t>este Tribunal Pleno</w:t>
      </w:r>
      <w:r w:rsidR="00505F9C" w:rsidRPr="00F868F4">
        <w:rPr>
          <w:sz w:val="28"/>
          <w:szCs w:val="28"/>
        </w:rPr>
        <w:t xml:space="preserve"> </w:t>
      </w:r>
      <w:r w:rsidR="00267BD6" w:rsidRPr="00F868F4">
        <w:rPr>
          <w:sz w:val="28"/>
          <w:szCs w:val="28"/>
        </w:rPr>
        <w:t xml:space="preserve">analizó exactamente la misma problemática que se presenta en este caso, ya que </w:t>
      </w:r>
      <w:r w:rsidR="003C2F9E" w:rsidRPr="00F868F4">
        <w:rPr>
          <w:sz w:val="28"/>
          <w:szCs w:val="28"/>
        </w:rPr>
        <w:t xml:space="preserve">evaluó si el Congreso de Sonora </w:t>
      </w:r>
      <w:r w:rsidR="00505F9C" w:rsidRPr="00F868F4">
        <w:rPr>
          <w:sz w:val="28"/>
          <w:szCs w:val="28"/>
        </w:rPr>
        <w:t xml:space="preserve">debió consultar a las comunidades indígenas del estado previo a realizar una reforma </w:t>
      </w:r>
      <w:r w:rsidR="00267BD6" w:rsidRPr="00F868F4">
        <w:rPr>
          <w:sz w:val="28"/>
          <w:szCs w:val="28"/>
        </w:rPr>
        <w:t xml:space="preserve">a </w:t>
      </w:r>
      <w:r w:rsidR="008A28EA" w:rsidRPr="00F868F4">
        <w:rPr>
          <w:sz w:val="28"/>
          <w:szCs w:val="28"/>
        </w:rPr>
        <w:t xml:space="preserve">la Constitución local para establecer la concurrencia de la elección de la Gubernatura con </w:t>
      </w:r>
      <w:r w:rsidR="001573A7" w:rsidRPr="00F868F4">
        <w:rPr>
          <w:sz w:val="28"/>
          <w:szCs w:val="28"/>
        </w:rPr>
        <w:t>el proceso electoral federal para renovar</w:t>
      </w:r>
      <w:r w:rsidR="008A28EA" w:rsidRPr="00F868F4">
        <w:rPr>
          <w:sz w:val="28"/>
          <w:szCs w:val="28"/>
        </w:rPr>
        <w:t xml:space="preserve"> la Presidencia de la República</w:t>
      </w:r>
      <w:r w:rsidR="00503C6D" w:rsidRPr="00F868F4">
        <w:rPr>
          <w:sz w:val="28"/>
          <w:szCs w:val="28"/>
        </w:rPr>
        <w:t xml:space="preserve">, </w:t>
      </w:r>
      <w:r w:rsidR="00BE638B" w:rsidRPr="00F868F4">
        <w:rPr>
          <w:sz w:val="28"/>
          <w:szCs w:val="28"/>
        </w:rPr>
        <w:t xml:space="preserve">lo cual implicó la adopción de un artículo transitorio </w:t>
      </w:r>
      <w:r w:rsidR="00ED0068" w:rsidRPr="00F868F4">
        <w:rPr>
          <w:sz w:val="28"/>
          <w:szCs w:val="28"/>
        </w:rPr>
        <w:t>que preveía que</w:t>
      </w:r>
      <w:r w:rsidR="005A2596" w:rsidRPr="00F868F4">
        <w:rPr>
          <w:sz w:val="28"/>
          <w:szCs w:val="28"/>
        </w:rPr>
        <w:t>, por única ocasión,</w:t>
      </w:r>
      <w:r w:rsidR="00ED0068" w:rsidRPr="00F868F4">
        <w:rPr>
          <w:sz w:val="28"/>
          <w:szCs w:val="28"/>
        </w:rPr>
        <w:t xml:space="preserve"> la persona electa para el cargo</w:t>
      </w:r>
      <w:r w:rsidR="00ED47EC" w:rsidRPr="00F868F4">
        <w:rPr>
          <w:sz w:val="28"/>
          <w:szCs w:val="28"/>
        </w:rPr>
        <w:t xml:space="preserve"> en el año dos mil veintisiete lo desempeñaría por un periodo de</w:t>
      </w:r>
      <w:r w:rsidR="00C06603" w:rsidRPr="00F868F4">
        <w:rPr>
          <w:sz w:val="28"/>
          <w:szCs w:val="28"/>
        </w:rPr>
        <w:t xml:space="preserve"> solo</w:t>
      </w:r>
      <w:r w:rsidR="00ED47EC" w:rsidRPr="00F868F4">
        <w:rPr>
          <w:sz w:val="28"/>
          <w:szCs w:val="28"/>
        </w:rPr>
        <w:t xml:space="preserve"> tres</w:t>
      </w:r>
      <w:r w:rsidR="00A07469" w:rsidRPr="00F868F4">
        <w:rPr>
          <w:sz w:val="28"/>
          <w:szCs w:val="28"/>
        </w:rPr>
        <w:t xml:space="preserve"> años</w:t>
      </w:r>
      <w:r w:rsidR="00C744CF" w:rsidRPr="00F868F4">
        <w:rPr>
          <w:rStyle w:val="Refdenotaalpie"/>
          <w:sz w:val="28"/>
          <w:szCs w:val="28"/>
        </w:rPr>
        <w:footnoteReference w:id="48"/>
      </w:r>
      <w:r w:rsidR="00ED47EC" w:rsidRPr="00F868F4">
        <w:rPr>
          <w:sz w:val="28"/>
          <w:szCs w:val="28"/>
        </w:rPr>
        <w:t>.</w:t>
      </w:r>
    </w:p>
    <w:p w14:paraId="31BA091E" w14:textId="6BAEE48A" w:rsidR="00DE7B05" w:rsidRPr="00F868F4" w:rsidRDefault="001573A7">
      <w:pPr>
        <w:pStyle w:val="Prrafo"/>
        <w:numPr>
          <w:ilvl w:val="0"/>
          <w:numId w:val="2"/>
        </w:numPr>
        <w:ind w:left="0" w:hanging="567"/>
        <w:rPr>
          <w:sz w:val="28"/>
          <w:szCs w:val="28"/>
        </w:rPr>
      </w:pPr>
      <w:r w:rsidRPr="00F868F4">
        <w:rPr>
          <w:sz w:val="28"/>
          <w:szCs w:val="28"/>
        </w:rPr>
        <w:lastRenderedPageBreak/>
        <w:t>Al respecto, se determinó que las normas impugnadas no impactan de manera directa ni diferenciada</w:t>
      </w:r>
      <w:r w:rsidR="00840C71" w:rsidRPr="00F868F4">
        <w:rPr>
          <w:sz w:val="28"/>
          <w:szCs w:val="28"/>
        </w:rPr>
        <w:t xml:space="preserve"> en</w:t>
      </w:r>
      <w:r w:rsidRPr="00F868F4">
        <w:rPr>
          <w:sz w:val="28"/>
          <w:szCs w:val="28"/>
        </w:rPr>
        <w:t xml:space="preserve"> los derechos que son propios de las comunidades y pueblos indígenas o afromexicanos de la entidad federativa, ni están dirigidas a imponer una obligación, otorgar un derecho o regular una conducta de esos grupos poblacionales. </w:t>
      </w:r>
      <w:r w:rsidR="00A9764D" w:rsidRPr="00F868F4">
        <w:rPr>
          <w:sz w:val="28"/>
          <w:szCs w:val="28"/>
        </w:rPr>
        <w:t>Dichos colectivos no se encuentran en una situación especial frente a las normas que regulan la duración en el cargo de la persona que ocupe la Gubernatura de la entidad federativa, o bien, respecto de la concurrencia entre esa elección y la</w:t>
      </w:r>
      <w:r w:rsidR="00226E79" w:rsidRPr="00F868F4">
        <w:rPr>
          <w:sz w:val="28"/>
          <w:szCs w:val="28"/>
        </w:rPr>
        <w:t xml:space="preserve"> relativa a la</w:t>
      </w:r>
      <w:r w:rsidR="00A9764D" w:rsidRPr="00F868F4">
        <w:rPr>
          <w:sz w:val="28"/>
          <w:szCs w:val="28"/>
        </w:rPr>
        <w:t xml:space="preserve"> Presidencia de la República.</w:t>
      </w:r>
    </w:p>
    <w:p w14:paraId="38072F6B" w14:textId="41A6C1BE" w:rsidR="00A9764D" w:rsidRPr="00F868F4" w:rsidRDefault="00226E79">
      <w:pPr>
        <w:pStyle w:val="Prrafo"/>
        <w:numPr>
          <w:ilvl w:val="0"/>
          <w:numId w:val="2"/>
        </w:numPr>
        <w:ind w:left="0" w:hanging="567"/>
        <w:rPr>
          <w:sz w:val="28"/>
          <w:szCs w:val="28"/>
        </w:rPr>
      </w:pPr>
      <w:r w:rsidRPr="00F868F4">
        <w:rPr>
          <w:sz w:val="28"/>
          <w:szCs w:val="28"/>
        </w:rPr>
        <w:t xml:space="preserve">Se abundó que la </w:t>
      </w:r>
      <w:r w:rsidR="00F52719" w:rsidRPr="00F868F4">
        <w:rPr>
          <w:sz w:val="28"/>
          <w:szCs w:val="28"/>
        </w:rPr>
        <w:t>G</w:t>
      </w:r>
      <w:r w:rsidRPr="00F868F4">
        <w:rPr>
          <w:sz w:val="28"/>
          <w:szCs w:val="28"/>
        </w:rPr>
        <w:t xml:space="preserve">ubernatura </w:t>
      </w:r>
      <w:r w:rsidR="00F52719" w:rsidRPr="00F868F4">
        <w:rPr>
          <w:sz w:val="28"/>
          <w:szCs w:val="28"/>
        </w:rPr>
        <w:t xml:space="preserve">es un cargo que </w:t>
      </w:r>
      <w:r w:rsidR="00393EB7" w:rsidRPr="00F868F4">
        <w:rPr>
          <w:sz w:val="28"/>
          <w:szCs w:val="28"/>
        </w:rPr>
        <w:t xml:space="preserve">toda la ciudadanía de la entidad puede elegir y competir para ocuparlo, </w:t>
      </w:r>
      <w:r w:rsidR="00EB4DC9" w:rsidRPr="00F868F4">
        <w:rPr>
          <w:sz w:val="28"/>
          <w:szCs w:val="28"/>
        </w:rPr>
        <w:t xml:space="preserve">con independencia de su identificación como indígena o afromexicana. </w:t>
      </w:r>
      <w:r w:rsidR="00C00017" w:rsidRPr="00F868F4">
        <w:rPr>
          <w:sz w:val="28"/>
          <w:szCs w:val="28"/>
        </w:rPr>
        <w:t>Por tanto, el posible impacto</w:t>
      </w:r>
      <w:r w:rsidR="005E2928" w:rsidRPr="00F868F4">
        <w:rPr>
          <w:sz w:val="28"/>
          <w:szCs w:val="28"/>
        </w:rPr>
        <w:t xml:space="preserve"> para estos grupos sociales</w:t>
      </w:r>
      <w:r w:rsidR="00C00017" w:rsidRPr="00F868F4">
        <w:rPr>
          <w:sz w:val="28"/>
          <w:szCs w:val="28"/>
        </w:rPr>
        <w:t xml:space="preserve"> deriva</w:t>
      </w:r>
      <w:r w:rsidR="0028419B" w:rsidRPr="00F868F4">
        <w:rPr>
          <w:sz w:val="28"/>
          <w:szCs w:val="28"/>
        </w:rPr>
        <w:t>do del establecimiento de la concurrencia de las elecciones locales con las federales</w:t>
      </w:r>
      <w:r w:rsidR="00C62D85" w:rsidRPr="00F868F4">
        <w:rPr>
          <w:sz w:val="28"/>
          <w:szCs w:val="28"/>
        </w:rPr>
        <w:t>, así como de</w:t>
      </w:r>
      <w:r w:rsidR="0028419B" w:rsidRPr="00F868F4">
        <w:rPr>
          <w:sz w:val="28"/>
          <w:szCs w:val="28"/>
        </w:rPr>
        <w:t xml:space="preserve"> la disminución </w:t>
      </w:r>
      <w:r w:rsidR="003C1241" w:rsidRPr="00F868F4">
        <w:rPr>
          <w:sz w:val="28"/>
          <w:szCs w:val="28"/>
        </w:rPr>
        <w:t>por una sola vez del periodo de la Gubernatura</w:t>
      </w:r>
      <w:r w:rsidR="00C62D85" w:rsidRPr="00F868F4">
        <w:rPr>
          <w:sz w:val="28"/>
          <w:szCs w:val="28"/>
        </w:rPr>
        <w:t>,</w:t>
      </w:r>
      <w:r w:rsidR="003C1241" w:rsidRPr="00F868F4">
        <w:rPr>
          <w:sz w:val="28"/>
          <w:szCs w:val="28"/>
        </w:rPr>
        <w:t xml:space="preserve"> es sustancialmente el mismo que </w:t>
      </w:r>
      <w:r w:rsidR="001B1977" w:rsidRPr="00F868F4">
        <w:rPr>
          <w:sz w:val="28"/>
          <w:szCs w:val="28"/>
        </w:rPr>
        <w:t>el del resto de la ciudadanía de la entidad federativa.</w:t>
      </w:r>
    </w:p>
    <w:p w14:paraId="208EFD97" w14:textId="5CE050ED" w:rsidR="00E8546A" w:rsidRPr="00F868F4" w:rsidRDefault="00EB16AE">
      <w:pPr>
        <w:pStyle w:val="Prrafo"/>
        <w:numPr>
          <w:ilvl w:val="0"/>
          <w:numId w:val="2"/>
        </w:numPr>
        <w:ind w:left="0" w:hanging="567"/>
        <w:rPr>
          <w:sz w:val="28"/>
          <w:szCs w:val="28"/>
        </w:rPr>
      </w:pPr>
      <w:r w:rsidRPr="00F868F4">
        <w:rPr>
          <w:sz w:val="28"/>
          <w:szCs w:val="28"/>
        </w:rPr>
        <w:lastRenderedPageBreak/>
        <w:t xml:space="preserve">Con base en el criterio </w:t>
      </w:r>
      <w:r w:rsidR="00782191" w:rsidRPr="00F868F4">
        <w:rPr>
          <w:sz w:val="28"/>
          <w:szCs w:val="28"/>
        </w:rPr>
        <w:t>adoptado en dicho</w:t>
      </w:r>
      <w:r w:rsidR="0057581D" w:rsidRPr="00F868F4">
        <w:rPr>
          <w:sz w:val="28"/>
          <w:szCs w:val="28"/>
        </w:rPr>
        <w:t xml:space="preserve"> </w:t>
      </w:r>
      <w:r w:rsidRPr="00F868F4">
        <w:rPr>
          <w:sz w:val="28"/>
          <w:szCs w:val="28"/>
        </w:rPr>
        <w:t xml:space="preserve">precedente, </w:t>
      </w:r>
      <w:r w:rsidR="0053667F" w:rsidRPr="00F868F4">
        <w:rPr>
          <w:sz w:val="28"/>
          <w:szCs w:val="28"/>
        </w:rPr>
        <w:t>esta Suprema Corte reitera</w:t>
      </w:r>
      <w:r w:rsidR="008A7C6B" w:rsidRPr="00F868F4">
        <w:rPr>
          <w:sz w:val="28"/>
          <w:szCs w:val="28"/>
        </w:rPr>
        <w:t xml:space="preserve"> en este caso</w:t>
      </w:r>
      <w:r w:rsidR="0053667F" w:rsidRPr="00F868F4">
        <w:rPr>
          <w:sz w:val="28"/>
          <w:szCs w:val="28"/>
        </w:rPr>
        <w:t xml:space="preserve"> </w:t>
      </w:r>
      <w:r w:rsidR="00782191" w:rsidRPr="00F868F4">
        <w:rPr>
          <w:sz w:val="28"/>
          <w:szCs w:val="28"/>
        </w:rPr>
        <w:t xml:space="preserve">que </w:t>
      </w:r>
      <w:r w:rsidR="003A4C56" w:rsidRPr="00F868F4">
        <w:rPr>
          <w:sz w:val="28"/>
          <w:szCs w:val="28"/>
        </w:rPr>
        <w:t>no es necesario consultar a las comunidades indígenas</w:t>
      </w:r>
      <w:r w:rsidR="00DB48E1" w:rsidRPr="00F868F4">
        <w:rPr>
          <w:sz w:val="28"/>
          <w:szCs w:val="28"/>
        </w:rPr>
        <w:t xml:space="preserve"> las modificaciones </w:t>
      </w:r>
      <w:r w:rsidR="00EB4ADA" w:rsidRPr="00F868F4">
        <w:rPr>
          <w:sz w:val="28"/>
          <w:szCs w:val="28"/>
        </w:rPr>
        <w:t>relativas a</w:t>
      </w:r>
      <w:r w:rsidR="00DB48E1" w:rsidRPr="00F868F4">
        <w:rPr>
          <w:sz w:val="28"/>
          <w:szCs w:val="28"/>
        </w:rPr>
        <w:t xml:space="preserve"> la periodicidad</w:t>
      </w:r>
      <w:r w:rsidR="00067605" w:rsidRPr="00F868F4">
        <w:rPr>
          <w:sz w:val="28"/>
          <w:szCs w:val="28"/>
        </w:rPr>
        <w:t xml:space="preserve"> de los procesos para la renovación de los cargos </w:t>
      </w:r>
      <w:r w:rsidR="00EB4ADA" w:rsidRPr="00F868F4">
        <w:rPr>
          <w:sz w:val="28"/>
          <w:szCs w:val="28"/>
        </w:rPr>
        <w:t>constitucionales de elección popular o la duración</w:t>
      </w:r>
      <w:r w:rsidR="00EE5C7A" w:rsidRPr="00F868F4">
        <w:rPr>
          <w:sz w:val="28"/>
          <w:szCs w:val="28"/>
        </w:rPr>
        <w:t xml:space="preserve"> </w:t>
      </w:r>
      <w:r w:rsidR="00EB4ADA" w:rsidRPr="00F868F4">
        <w:rPr>
          <w:sz w:val="28"/>
          <w:szCs w:val="28"/>
        </w:rPr>
        <w:t>de sus mandatos</w:t>
      </w:r>
      <w:r w:rsidR="00333AE1" w:rsidRPr="00F868F4">
        <w:rPr>
          <w:sz w:val="28"/>
          <w:szCs w:val="28"/>
        </w:rPr>
        <w:t>, ya sea ordinaria o excepcional</w:t>
      </w:r>
      <w:r w:rsidR="00EE5C7A" w:rsidRPr="00F868F4">
        <w:rPr>
          <w:sz w:val="28"/>
          <w:szCs w:val="28"/>
        </w:rPr>
        <w:t xml:space="preserve">. </w:t>
      </w:r>
      <w:r w:rsidR="003C6B1C" w:rsidRPr="00F868F4">
        <w:rPr>
          <w:sz w:val="28"/>
          <w:szCs w:val="28"/>
        </w:rPr>
        <w:t>Se trata de</w:t>
      </w:r>
      <w:r w:rsidR="008E492E" w:rsidRPr="00F868F4">
        <w:rPr>
          <w:sz w:val="28"/>
          <w:szCs w:val="28"/>
        </w:rPr>
        <w:t xml:space="preserve"> una de las condiciones básicas para la organización de una elección</w:t>
      </w:r>
      <w:r w:rsidR="00985BA5" w:rsidRPr="00F868F4">
        <w:rPr>
          <w:sz w:val="28"/>
          <w:szCs w:val="28"/>
        </w:rPr>
        <w:t>,</w:t>
      </w:r>
      <w:r w:rsidR="00BC64BC" w:rsidRPr="00F868F4">
        <w:rPr>
          <w:sz w:val="28"/>
          <w:szCs w:val="28"/>
        </w:rPr>
        <w:t xml:space="preserve"> </w:t>
      </w:r>
      <w:r w:rsidR="00B67F1B" w:rsidRPr="00F868F4">
        <w:rPr>
          <w:sz w:val="28"/>
          <w:szCs w:val="28"/>
        </w:rPr>
        <w:t>pues permite conocer cada cuánto tiempo se debe celebrar</w:t>
      </w:r>
      <w:r w:rsidR="00E3295E" w:rsidRPr="00F868F4">
        <w:rPr>
          <w:sz w:val="28"/>
          <w:szCs w:val="28"/>
        </w:rPr>
        <w:t xml:space="preserve"> y así garantizar condiciones para el adecuado desempeño del poder público.</w:t>
      </w:r>
    </w:p>
    <w:p w14:paraId="7E706CF6" w14:textId="57EBBD20" w:rsidR="00947692" w:rsidRPr="00F868F4" w:rsidRDefault="00AF4D03">
      <w:pPr>
        <w:pStyle w:val="Prrafo"/>
        <w:numPr>
          <w:ilvl w:val="0"/>
          <w:numId w:val="2"/>
        </w:numPr>
        <w:ind w:left="0" w:hanging="567"/>
        <w:rPr>
          <w:sz w:val="28"/>
          <w:szCs w:val="28"/>
        </w:rPr>
      </w:pPr>
      <w:r w:rsidRPr="00F868F4">
        <w:rPr>
          <w:sz w:val="28"/>
          <w:szCs w:val="28"/>
        </w:rPr>
        <w:t xml:space="preserve">En ese sentido, se advierte que es un aspecto que </w:t>
      </w:r>
      <w:r w:rsidR="007B7085" w:rsidRPr="00F868F4">
        <w:rPr>
          <w:sz w:val="28"/>
          <w:szCs w:val="28"/>
        </w:rPr>
        <w:t>incide</w:t>
      </w:r>
      <w:r w:rsidR="009F6E31" w:rsidRPr="00F868F4">
        <w:rPr>
          <w:sz w:val="28"/>
          <w:szCs w:val="28"/>
        </w:rPr>
        <w:t xml:space="preserve"> de forma </w:t>
      </w:r>
      <w:r w:rsidR="0046457D" w:rsidRPr="00F868F4">
        <w:rPr>
          <w:sz w:val="28"/>
          <w:szCs w:val="28"/>
        </w:rPr>
        <w:t xml:space="preserve">uniforme a toda la ciudadanía, </w:t>
      </w:r>
      <w:r w:rsidR="004C772D" w:rsidRPr="00F868F4">
        <w:rPr>
          <w:sz w:val="28"/>
          <w:szCs w:val="28"/>
        </w:rPr>
        <w:t xml:space="preserve">por lo que no </w:t>
      </w:r>
      <w:r w:rsidR="00484367" w:rsidRPr="00F868F4">
        <w:rPr>
          <w:sz w:val="28"/>
          <w:szCs w:val="28"/>
        </w:rPr>
        <w:t>hay</w:t>
      </w:r>
      <w:r w:rsidR="004C772D" w:rsidRPr="00F868F4">
        <w:rPr>
          <w:sz w:val="28"/>
          <w:szCs w:val="28"/>
        </w:rPr>
        <w:t xml:space="preserve"> </w:t>
      </w:r>
      <w:r w:rsidR="008F3985" w:rsidRPr="00F868F4">
        <w:rPr>
          <w:sz w:val="28"/>
          <w:szCs w:val="28"/>
        </w:rPr>
        <w:t xml:space="preserve">ningún elemento </w:t>
      </w:r>
      <w:r w:rsidR="00484367" w:rsidRPr="00F868F4">
        <w:rPr>
          <w:sz w:val="28"/>
          <w:szCs w:val="28"/>
        </w:rPr>
        <w:t>del que se desprenda</w:t>
      </w:r>
      <w:r w:rsidR="008F3985" w:rsidRPr="00F868F4">
        <w:rPr>
          <w:sz w:val="28"/>
          <w:szCs w:val="28"/>
        </w:rPr>
        <w:t xml:space="preserve"> que el establecimiento de la concurrencia de las elecciones estatales con los comicios federales</w:t>
      </w:r>
      <w:r w:rsidR="00484367" w:rsidRPr="00F868F4">
        <w:rPr>
          <w:sz w:val="28"/>
          <w:szCs w:val="28"/>
        </w:rPr>
        <w:t>,</w:t>
      </w:r>
      <w:r w:rsidR="005103FF" w:rsidRPr="00F868F4">
        <w:rPr>
          <w:sz w:val="28"/>
          <w:szCs w:val="28"/>
        </w:rPr>
        <w:t xml:space="preserve"> y</w:t>
      </w:r>
      <w:r w:rsidR="00947692" w:rsidRPr="00F868F4">
        <w:rPr>
          <w:sz w:val="28"/>
          <w:szCs w:val="28"/>
        </w:rPr>
        <w:t xml:space="preserve"> su instrumentación a través de la reducción excepcional del siguiente periodo de la Gubernatura</w:t>
      </w:r>
      <w:r w:rsidR="00484367" w:rsidRPr="00F868F4">
        <w:rPr>
          <w:sz w:val="28"/>
          <w:szCs w:val="28"/>
        </w:rPr>
        <w:t>,</w:t>
      </w:r>
      <w:r w:rsidR="00947692" w:rsidRPr="00F868F4">
        <w:rPr>
          <w:sz w:val="28"/>
          <w:szCs w:val="28"/>
        </w:rPr>
        <w:t xml:space="preserve"> </w:t>
      </w:r>
      <w:r w:rsidR="003C3DC6" w:rsidRPr="00F868F4">
        <w:rPr>
          <w:sz w:val="28"/>
          <w:szCs w:val="28"/>
        </w:rPr>
        <w:t>tengan</w:t>
      </w:r>
      <w:r w:rsidR="00AA46A8" w:rsidRPr="00F868F4">
        <w:rPr>
          <w:sz w:val="28"/>
          <w:szCs w:val="28"/>
        </w:rPr>
        <w:t xml:space="preserve"> un impacto específico y diferenciado en los derechos o intereses de las comunidades indígenas.</w:t>
      </w:r>
    </w:p>
    <w:p w14:paraId="7E608879" w14:textId="2F8863F6" w:rsidR="00B32B86" w:rsidRPr="00F868F4" w:rsidRDefault="002F7711" w:rsidP="00F95E93">
      <w:pPr>
        <w:pStyle w:val="Prrafo"/>
        <w:numPr>
          <w:ilvl w:val="0"/>
          <w:numId w:val="2"/>
        </w:numPr>
        <w:ind w:left="0" w:hanging="567"/>
        <w:rPr>
          <w:sz w:val="28"/>
          <w:szCs w:val="28"/>
        </w:rPr>
      </w:pPr>
      <w:r w:rsidRPr="00F868F4">
        <w:rPr>
          <w:sz w:val="28"/>
          <w:szCs w:val="28"/>
        </w:rPr>
        <w:t>Por tanto, contrario a lo alegado por el partido promovente, de la circunstancia consistente en que el estado de Oaxaca tiene un alto porcentaje de población que se identifica como indígena no se sigue que se deba someter a consulta previa un cambio al periodo de gobierno del Titular del Poder Ejecutivo.</w:t>
      </w:r>
      <w:r w:rsidR="00B32B86" w:rsidRPr="00F868F4">
        <w:rPr>
          <w:sz w:val="28"/>
          <w:szCs w:val="28"/>
        </w:rPr>
        <w:t xml:space="preserve"> </w:t>
      </w:r>
      <w:r w:rsidR="00BF4B97" w:rsidRPr="00F868F4">
        <w:rPr>
          <w:sz w:val="28"/>
          <w:szCs w:val="28"/>
        </w:rPr>
        <w:t>Dicha exigencia constitucional y convencional no debe calibrarse en función del mayor o menor porcentaje de población indígena que radica en un ámbito territorial</w:t>
      </w:r>
      <w:r w:rsidR="00B32B86" w:rsidRPr="00F868F4">
        <w:rPr>
          <w:sz w:val="28"/>
          <w:szCs w:val="28"/>
        </w:rPr>
        <w:t xml:space="preserve">, sino que el criterio determinante </w:t>
      </w:r>
      <w:r w:rsidR="00F95E93" w:rsidRPr="00F868F4">
        <w:rPr>
          <w:sz w:val="28"/>
          <w:szCs w:val="28"/>
        </w:rPr>
        <w:t xml:space="preserve">es que la medida legislativa sea </w:t>
      </w:r>
      <w:r w:rsidR="00B32B86" w:rsidRPr="00F868F4">
        <w:rPr>
          <w:sz w:val="28"/>
          <w:szCs w:val="28"/>
        </w:rPr>
        <w:t>susceptible de afectar de forma particularizada a los integrantes de los pueblos y comunidades indígenas.</w:t>
      </w:r>
    </w:p>
    <w:p w14:paraId="580B6678" w14:textId="563E3E4F" w:rsidR="003B7902" w:rsidRPr="00F868F4" w:rsidRDefault="00381B22" w:rsidP="003B7902">
      <w:pPr>
        <w:pStyle w:val="Prrafo"/>
        <w:numPr>
          <w:ilvl w:val="0"/>
          <w:numId w:val="2"/>
        </w:numPr>
        <w:ind w:left="0" w:hanging="567"/>
        <w:rPr>
          <w:sz w:val="28"/>
          <w:szCs w:val="28"/>
        </w:rPr>
      </w:pPr>
      <w:r w:rsidRPr="00F868F4">
        <w:rPr>
          <w:sz w:val="28"/>
          <w:szCs w:val="28"/>
        </w:rPr>
        <w:t>Con base en las razones expuestas,</w:t>
      </w:r>
      <w:r w:rsidR="00AD3507" w:rsidRPr="00F868F4">
        <w:rPr>
          <w:sz w:val="28"/>
          <w:szCs w:val="28"/>
        </w:rPr>
        <w:t xml:space="preserve"> </w:t>
      </w:r>
      <w:r w:rsidR="004111BB" w:rsidRPr="00F868F4">
        <w:rPr>
          <w:sz w:val="28"/>
          <w:szCs w:val="28"/>
        </w:rPr>
        <w:t xml:space="preserve">no era imperativo que el contenido del Decreto núm. 1624 se </w:t>
      </w:r>
      <w:r w:rsidR="00D76BAC" w:rsidRPr="00F868F4">
        <w:rPr>
          <w:sz w:val="28"/>
          <w:szCs w:val="28"/>
        </w:rPr>
        <w:t>sometiera</w:t>
      </w:r>
      <w:r w:rsidR="004111BB" w:rsidRPr="00F868F4">
        <w:rPr>
          <w:sz w:val="28"/>
          <w:szCs w:val="28"/>
        </w:rPr>
        <w:t xml:space="preserve"> a consulta previa de las comunidades </w:t>
      </w:r>
      <w:r w:rsidR="004111BB" w:rsidRPr="00F868F4">
        <w:rPr>
          <w:sz w:val="28"/>
          <w:szCs w:val="28"/>
        </w:rPr>
        <w:lastRenderedPageBreak/>
        <w:t>indígenas del estado de Oaxaca,</w:t>
      </w:r>
      <w:r w:rsidR="007943D3" w:rsidRPr="00F868F4">
        <w:rPr>
          <w:sz w:val="28"/>
          <w:szCs w:val="28"/>
        </w:rPr>
        <w:t xml:space="preserve"> en el marco de su procedimiento de creación,</w:t>
      </w:r>
      <w:r w:rsidR="004111BB" w:rsidRPr="00F868F4">
        <w:rPr>
          <w:sz w:val="28"/>
          <w:szCs w:val="28"/>
        </w:rPr>
        <w:t xml:space="preserve"> por lo que es </w:t>
      </w:r>
      <w:r w:rsidR="004111BB" w:rsidRPr="00F868F4">
        <w:rPr>
          <w:b/>
          <w:bCs/>
          <w:sz w:val="28"/>
          <w:szCs w:val="28"/>
        </w:rPr>
        <w:t>infundado</w:t>
      </w:r>
      <w:r w:rsidR="00F57E55" w:rsidRPr="00F868F4">
        <w:rPr>
          <w:sz w:val="28"/>
          <w:szCs w:val="28"/>
        </w:rPr>
        <w:t xml:space="preserve"> que se hayan violado </w:t>
      </w:r>
      <w:r w:rsidR="007C395E" w:rsidRPr="00F868F4">
        <w:rPr>
          <w:sz w:val="28"/>
          <w:szCs w:val="28"/>
        </w:rPr>
        <w:t>los preceptos constitucionales y convencionales en los que se sustenta dicha obligación.</w:t>
      </w:r>
    </w:p>
    <w:p w14:paraId="26B7237B" w14:textId="73964FE8" w:rsidR="003B7902" w:rsidRPr="00F868F4" w:rsidRDefault="003B7902" w:rsidP="003B7902">
      <w:pPr>
        <w:pStyle w:val="Ttulo2"/>
        <w:keepNext/>
        <w:jc w:val="center"/>
        <w:rPr>
          <w:rFonts w:ascii="Arial" w:hAnsi="Arial"/>
        </w:rPr>
      </w:pPr>
      <w:r w:rsidRPr="00F868F4">
        <w:rPr>
          <w:rFonts w:ascii="Arial" w:hAnsi="Arial"/>
        </w:rPr>
        <w:t xml:space="preserve">V.2. </w:t>
      </w:r>
      <w:r w:rsidR="009E7F0F" w:rsidRPr="00F868F4">
        <w:rPr>
          <w:rFonts w:ascii="Arial" w:hAnsi="Arial"/>
        </w:rPr>
        <w:t>Presunta violación al artículo 116 de la Constitución Política del país</w:t>
      </w:r>
    </w:p>
    <w:p w14:paraId="17F82315" w14:textId="144058CB" w:rsidR="00203B44" w:rsidRPr="00F868F4" w:rsidRDefault="00BA6839">
      <w:pPr>
        <w:pStyle w:val="Prrafo"/>
        <w:numPr>
          <w:ilvl w:val="0"/>
          <w:numId w:val="2"/>
        </w:numPr>
        <w:ind w:left="0" w:hanging="567"/>
        <w:rPr>
          <w:sz w:val="28"/>
          <w:szCs w:val="28"/>
        </w:rPr>
      </w:pPr>
      <w:r w:rsidRPr="00F868F4">
        <w:rPr>
          <w:sz w:val="28"/>
          <w:szCs w:val="28"/>
        </w:rPr>
        <w:t xml:space="preserve">El partido promovente </w:t>
      </w:r>
      <w:r w:rsidR="00E85BA0" w:rsidRPr="00F868F4">
        <w:rPr>
          <w:sz w:val="28"/>
          <w:szCs w:val="28"/>
        </w:rPr>
        <w:t>argumenta</w:t>
      </w:r>
      <w:r w:rsidR="00B31041" w:rsidRPr="00F868F4">
        <w:rPr>
          <w:sz w:val="28"/>
          <w:szCs w:val="28"/>
        </w:rPr>
        <w:t xml:space="preserve"> que el establecimiento </w:t>
      </w:r>
      <w:r w:rsidR="00C71C0F" w:rsidRPr="00F868F4">
        <w:rPr>
          <w:sz w:val="28"/>
          <w:szCs w:val="28"/>
        </w:rPr>
        <w:t xml:space="preserve">de un mandato de dos años para la Gubernatura electa en el dos mil veintiocho contraviene </w:t>
      </w:r>
      <w:r w:rsidR="00F47A11" w:rsidRPr="00F868F4">
        <w:rPr>
          <w:sz w:val="28"/>
          <w:szCs w:val="28"/>
        </w:rPr>
        <w:t>lo exigido en los artículos 116 de la Constitución Política del país y 69 de la Constitución local</w:t>
      </w:r>
      <w:r w:rsidR="008050CB" w:rsidRPr="00F868F4">
        <w:rPr>
          <w:rStyle w:val="Refdenotaalpie"/>
          <w:sz w:val="28"/>
          <w:szCs w:val="28"/>
        </w:rPr>
        <w:footnoteReference w:id="49"/>
      </w:r>
      <w:r w:rsidR="00F47A11" w:rsidRPr="00F868F4">
        <w:rPr>
          <w:sz w:val="28"/>
          <w:szCs w:val="28"/>
        </w:rPr>
        <w:t xml:space="preserve">, en los que se dispone que la Gubernatura del estado de Oaxaca </w:t>
      </w:r>
      <w:r w:rsidR="0043787D" w:rsidRPr="00F868F4">
        <w:rPr>
          <w:sz w:val="28"/>
          <w:szCs w:val="28"/>
        </w:rPr>
        <w:t xml:space="preserve">será </w:t>
      </w:r>
      <w:r w:rsidR="00850DCC" w:rsidRPr="00F868F4">
        <w:rPr>
          <w:sz w:val="28"/>
          <w:szCs w:val="28"/>
        </w:rPr>
        <w:t>por un periodo de</w:t>
      </w:r>
      <w:r w:rsidR="0043787D" w:rsidRPr="00F868F4">
        <w:rPr>
          <w:sz w:val="28"/>
          <w:szCs w:val="28"/>
        </w:rPr>
        <w:t xml:space="preserve"> seis años.</w:t>
      </w:r>
      <w:r w:rsidR="00AB4075" w:rsidRPr="00F868F4">
        <w:rPr>
          <w:sz w:val="28"/>
          <w:szCs w:val="28"/>
        </w:rPr>
        <w:t xml:space="preserve"> A su consideración, tal irregularidad conlleva una violación a</w:t>
      </w:r>
      <w:r w:rsidR="006D0A61" w:rsidRPr="00F868F4">
        <w:rPr>
          <w:sz w:val="28"/>
          <w:szCs w:val="28"/>
        </w:rPr>
        <w:t xml:space="preserve">l principio </w:t>
      </w:r>
      <w:r w:rsidR="00AB4075" w:rsidRPr="00F868F4">
        <w:rPr>
          <w:sz w:val="28"/>
          <w:szCs w:val="28"/>
        </w:rPr>
        <w:t>de legalidad</w:t>
      </w:r>
      <w:r w:rsidR="00473477" w:rsidRPr="00F868F4">
        <w:rPr>
          <w:sz w:val="28"/>
          <w:szCs w:val="28"/>
        </w:rPr>
        <w:t>, en sus vertientes de competencia</w:t>
      </w:r>
      <w:r w:rsidR="00E85CBD" w:rsidRPr="00F868F4">
        <w:rPr>
          <w:sz w:val="28"/>
          <w:szCs w:val="28"/>
        </w:rPr>
        <w:t xml:space="preserve"> y debida fundamentación y motivación</w:t>
      </w:r>
      <w:r w:rsidR="006D0A61" w:rsidRPr="00F868F4">
        <w:rPr>
          <w:sz w:val="28"/>
          <w:szCs w:val="28"/>
        </w:rPr>
        <w:t>, así como al de supremacía constitucional</w:t>
      </w:r>
      <w:r w:rsidR="00E85CBD" w:rsidRPr="00F868F4">
        <w:rPr>
          <w:sz w:val="28"/>
          <w:szCs w:val="28"/>
        </w:rPr>
        <w:t>.</w:t>
      </w:r>
    </w:p>
    <w:p w14:paraId="613B695F" w14:textId="4B3B6B77" w:rsidR="001B0455" w:rsidRPr="00F868F4" w:rsidRDefault="00CD1142" w:rsidP="00A759F6">
      <w:pPr>
        <w:pStyle w:val="Prrafo"/>
        <w:numPr>
          <w:ilvl w:val="0"/>
          <w:numId w:val="1"/>
        </w:numPr>
        <w:ind w:left="0" w:hanging="567"/>
        <w:rPr>
          <w:sz w:val="28"/>
          <w:szCs w:val="28"/>
        </w:rPr>
      </w:pPr>
      <w:r w:rsidRPr="00F868F4">
        <w:rPr>
          <w:sz w:val="28"/>
          <w:szCs w:val="28"/>
        </w:rPr>
        <w:t xml:space="preserve">Este Tribunal Pleno considera que </w:t>
      </w:r>
      <w:r w:rsidRPr="00F868F4">
        <w:rPr>
          <w:b/>
          <w:bCs/>
          <w:sz w:val="28"/>
          <w:szCs w:val="28"/>
        </w:rPr>
        <w:t>no le asiste razón</w:t>
      </w:r>
      <w:r w:rsidRPr="00F868F4">
        <w:rPr>
          <w:sz w:val="28"/>
          <w:szCs w:val="28"/>
        </w:rPr>
        <w:t xml:space="preserve"> al partido accionante, debido a que la</w:t>
      </w:r>
      <w:r w:rsidR="005364C8" w:rsidRPr="00F868F4">
        <w:rPr>
          <w:sz w:val="28"/>
          <w:szCs w:val="28"/>
        </w:rPr>
        <w:t xml:space="preserve"> </w:t>
      </w:r>
      <w:r w:rsidR="008D6FDD" w:rsidRPr="00F868F4">
        <w:rPr>
          <w:sz w:val="28"/>
          <w:szCs w:val="28"/>
        </w:rPr>
        <w:t xml:space="preserve">definición de la periodicidad de los cargos de elección popular y de los procesos para su renovación es un aspecto </w:t>
      </w:r>
      <w:r w:rsidR="00A23B3A" w:rsidRPr="00F868F4">
        <w:rPr>
          <w:sz w:val="28"/>
          <w:szCs w:val="28"/>
        </w:rPr>
        <w:t xml:space="preserve">comprendido en el </w:t>
      </w:r>
      <w:r w:rsidR="00E03708" w:rsidRPr="00F868F4">
        <w:rPr>
          <w:sz w:val="28"/>
          <w:szCs w:val="28"/>
        </w:rPr>
        <w:t>margen</w:t>
      </w:r>
      <w:r w:rsidR="00A23B3A" w:rsidRPr="00F868F4">
        <w:rPr>
          <w:sz w:val="28"/>
          <w:szCs w:val="28"/>
        </w:rPr>
        <w:t xml:space="preserve"> de libertad de configuración normativa de las entidades federativas</w:t>
      </w:r>
      <w:r w:rsidR="00D8492D" w:rsidRPr="00F868F4">
        <w:rPr>
          <w:sz w:val="28"/>
          <w:szCs w:val="28"/>
        </w:rPr>
        <w:t>, bajo la condición de que se ajusten a los lineamientos mínimos dispuestos en el artículo 116 constitucional</w:t>
      </w:r>
      <w:r w:rsidR="00A23B3A" w:rsidRPr="00F868F4">
        <w:rPr>
          <w:sz w:val="28"/>
          <w:szCs w:val="28"/>
        </w:rPr>
        <w:t>.</w:t>
      </w:r>
      <w:r w:rsidR="00AF7D62" w:rsidRPr="00F868F4">
        <w:rPr>
          <w:sz w:val="28"/>
          <w:szCs w:val="28"/>
        </w:rPr>
        <w:t xml:space="preserve"> </w:t>
      </w:r>
      <w:r w:rsidR="0069657E" w:rsidRPr="00F868F4">
        <w:rPr>
          <w:sz w:val="28"/>
          <w:szCs w:val="28"/>
        </w:rPr>
        <w:t xml:space="preserve">Dicho margen les habilita para realizar modificaciones para </w:t>
      </w:r>
      <w:r w:rsidR="0031640B" w:rsidRPr="00F868F4">
        <w:rPr>
          <w:sz w:val="28"/>
          <w:szCs w:val="28"/>
        </w:rPr>
        <w:t>materializar</w:t>
      </w:r>
      <w:r w:rsidR="0069657E" w:rsidRPr="00F868F4">
        <w:rPr>
          <w:sz w:val="28"/>
          <w:szCs w:val="28"/>
        </w:rPr>
        <w:t xml:space="preserve"> la concurrencia de </w:t>
      </w:r>
      <w:r w:rsidR="008C27C0" w:rsidRPr="00F868F4">
        <w:rPr>
          <w:sz w:val="28"/>
          <w:szCs w:val="28"/>
        </w:rPr>
        <w:t>los procesos electorales locales con los de carácter federal</w:t>
      </w:r>
      <w:r w:rsidR="00322385" w:rsidRPr="00F868F4">
        <w:rPr>
          <w:sz w:val="28"/>
          <w:szCs w:val="28"/>
        </w:rPr>
        <w:t xml:space="preserve">, </w:t>
      </w:r>
      <w:r w:rsidR="00EC3F1D" w:rsidRPr="00F868F4">
        <w:rPr>
          <w:sz w:val="28"/>
          <w:szCs w:val="28"/>
        </w:rPr>
        <w:t>incluyendo</w:t>
      </w:r>
      <w:r w:rsidR="000311C1" w:rsidRPr="00F868F4">
        <w:rPr>
          <w:sz w:val="28"/>
          <w:szCs w:val="28"/>
        </w:rPr>
        <w:t xml:space="preserve"> </w:t>
      </w:r>
      <w:r w:rsidR="001B0455" w:rsidRPr="00F868F4">
        <w:rPr>
          <w:sz w:val="28"/>
          <w:szCs w:val="28"/>
        </w:rPr>
        <w:t>la previsión</w:t>
      </w:r>
      <w:r w:rsidR="008011B8" w:rsidRPr="00F868F4">
        <w:rPr>
          <w:sz w:val="28"/>
          <w:szCs w:val="28"/>
        </w:rPr>
        <w:t xml:space="preserve"> </w:t>
      </w:r>
      <w:r w:rsidR="00E54849" w:rsidRPr="00F868F4">
        <w:rPr>
          <w:sz w:val="28"/>
          <w:szCs w:val="28"/>
        </w:rPr>
        <w:t xml:space="preserve">de un periodo </w:t>
      </w:r>
      <w:r w:rsidR="008011B8" w:rsidRPr="00F868F4">
        <w:rPr>
          <w:sz w:val="28"/>
          <w:szCs w:val="28"/>
        </w:rPr>
        <w:t xml:space="preserve">reducido al que ordinariamente tiene </w:t>
      </w:r>
      <w:r w:rsidR="003422EB" w:rsidRPr="00F868F4">
        <w:rPr>
          <w:sz w:val="28"/>
          <w:szCs w:val="28"/>
        </w:rPr>
        <w:t>un</w:t>
      </w:r>
      <w:r w:rsidR="008011B8" w:rsidRPr="00F868F4">
        <w:rPr>
          <w:sz w:val="28"/>
          <w:szCs w:val="28"/>
        </w:rPr>
        <w:t xml:space="preserve"> encargo</w:t>
      </w:r>
      <w:r w:rsidR="007479F5" w:rsidRPr="00F868F4">
        <w:rPr>
          <w:sz w:val="28"/>
          <w:szCs w:val="28"/>
        </w:rPr>
        <w:t xml:space="preserve">, siempre que sea excepcional y como </w:t>
      </w:r>
      <w:r w:rsidR="007479F5" w:rsidRPr="00F868F4">
        <w:rPr>
          <w:sz w:val="28"/>
          <w:szCs w:val="28"/>
        </w:rPr>
        <w:lastRenderedPageBreak/>
        <w:t>una previsión a futuro.</w:t>
      </w:r>
      <w:r w:rsidR="00C31F64" w:rsidRPr="00F868F4">
        <w:rPr>
          <w:sz w:val="28"/>
          <w:szCs w:val="28"/>
        </w:rPr>
        <w:t xml:space="preserve"> </w:t>
      </w:r>
      <w:r w:rsidR="0071610F" w:rsidRPr="00F868F4">
        <w:rPr>
          <w:sz w:val="28"/>
          <w:szCs w:val="28"/>
        </w:rPr>
        <w:t>A continuación se desarrollan las consideraciones que sustentan esta conclusión.</w:t>
      </w:r>
    </w:p>
    <w:p w14:paraId="495EF88F" w14:textId="77777777" w:rsidR="006B72EB" w:rsidRPr="0000197A" w:rsidRDefault="006B72EB" w:rsidP="006B72EB">
      <w:pPr>
        <w:keepNext/>
        <w:tabs>
          <w:tab w:val="left" w:pos="426"/>
        </w:tabs>
        <w:spacing w:before="240" w:after="240" w:line="360" w:lineRule="auto"/>
        <w:jc w:val="center"/>
        <w:rPr>
          <w:rFonts w:ascii="Arial" w:hAnsi="Arial" w:cs="Arial"/>
          <w:b/>
          <w:sz w:val="28"/>
          <w:szCs w:val="28"/>
          <w:lang w:eastAsia="es-ES"/>
        </w:rPr>
      </w:pPr>
      <w:r w:rsidRPr="0000197A">
        <w:rPr>
          <w:rFonts w:ascii="Arial" w:hAnsi="Arial" w:cs="Arial"/>
          <w:b/>
          <w:sz w:val="28"/>
          <w:szCs w:val="28"/>
          <w:lang w:eastAsia="es-ES"/>
        </w:rPr>
        <w:t>A)</w:t>
      </w:r>
      <w:r w:rsidRPr="0000197A">
        <w:rPr>
          <w:rFonts w:ascii="Arial" w:hAnsi="Arial" w:cs="Arial"/>
          <w:b/>
          <w:i/>
          <w:iCs/>
          <w:sz w:val="28"/>
          <w:szCs w:val="28"/>
          <w:lang w:eastAsia="es-ES"/>
        </w:rPr>
        <w:t xml:space="preserve"> </w:t>
      </w:r>
      <w:r w:rsidRPr="0000197A">
        <w:rPr>
          <w:rFonts w:ascii="Arial" w:hAnsi="Arial" w:cs="Arial"/>
          <w:b/>
          <w:sz w:val="28"/>
          <w:szCs w:val="28"/>
          <w:lang w:eastAsia="es-ES"/>
        </w:rPr>
        <w:t>Parámetro de regularidad constitucional</w:t>
      </w:r>
    </w:p>
    <w:p w14:paraId="165DCFFB" w14:textId="3C3A2F8C" w:rsidR="00A66B76" w:rsidRPr="00F868F4" w:rsidRDefault="005D699F" w:rsidP="00A759F6">
      <w:pPr>
        <w:pStyle w:val="Prrafo"/>
        <w:numPr>
          <w:ilvl w:val="0"/>
          <w:numId w:val="1"/>
        </w:numPr>
        <w:ind w:left="0" w:hanging="567"/>
        <w:rPr>
          <w:sz w:val="28"/>
          <w:szCs w:val="28"/>
        </w:rPr>
      </w:pPr>
      <w:r w:rsidRPr="00F868F4">
        <w:rPr>
          <w:sz w:val="28"/>
          <w:szCs w:val="28"/>
        </w:rPr>
        <w:t>El artículo 116</w:t>
      </w:r>
      <w:r w:rsidR="00AD1C58" w:rsidRPr="00F868F4">
        <w:rPr>
          <w:sz w:val="28"/>
          <w:szCs w:val="28"/>
        </w:rPr>
        <w:t xml:space="preserve">, segundo párrafo, de la Constitución Política del país </w:t>
      </w:r>
      <w:r w:rsidR="00170C60" w:rsidRPr="00F868F4">
        <w:rPr>
          <w:sz w:val="28"/>
          <w:szCs w:val="28"/>
        </w:rPr>
        <w:t xml:space="preserve">establece que </w:t>
      </w:r>
      <w:r w:rsidR="008541E0" w:rsidRPr="00F868F4">
        <w:rPr>
          <w:sz w:val="28"/>
          <w:szCs w:val="28"/>
        </w:rPr>
        <w:t>“[l]os poderes de los Estados se organizarán conforme a la Constitución de cada uno de ellos […]”,</w:t>
      </w:r>
      <w:r w:rsidR="0010479C" w:rsidRPr="00F868F4">
        <w:rPr>
          <w:sz w:val="28"/>
          <w:szCs w:val="28"/>
        </w:rPr>
        <w:t xml:space="preserve"> </w:t>
      </w:r>
      <w:r w:rsidR="0085184B" w:rsidRPr="00F868F4">
        <w:rPr>
          <w:sz w:val="28"/>
          <w:szCs w:val="28"/>
        </w:rPr>
        <w:t>para lo cual deben</w:t>
      </w:r>
      <w:r w:rsidR="0010479C" w:rsidRPr="00F868F4">
        <w:rPr>
          <w:sz w:val="28"/>
          <w:szCs w:val="28"/>
        </w:rPr>
        <w:t xml:space="preserve"> sujetarse </w:t>
      </w:r>
      <w:r w:rsidR="0085184B" w:rsidRPr="00F868F4">
        <w:rPr>
          <w:sz w:val="28"/>
          <w:szCs w:val="28"/>
        </w:rPr>
        <w:t xml:space="preserve">al contenido mínimo </w:t>
      </w:r>
      <w:r w:rsidR="00626B9E" w:rsidRPr="00F868F4">
        <w:rPr>
          <w:sz w:val="28"/>
          <w:szCs w:val="28"/>
        </w:rPr>
        <w:t>desarrollado en las fracciones que integran dicho precepto</w:t>
      </w:r>
      <w:r w:rsidR="001C5A22" w:rsidRPr="00F868F4">
        <w:rPr>
          <w:sz w:val="28"/>
          <w:szCs w:val="28"/>
        </w:rPr>
        <w:t>.</w:t>
      </w:r>
      <w:r w:rsidR="00E96E3B" w:rsidRPr="00F868F4">
        <w:rPr>
          <w:sz w:val="28"/>
          <w:szCs w:val="28"/>
        </w:rPr>
        <w:t xml:space="preserve"> En ese sentido, </w:t>
      </w:r>
      <w:r w:rsidR="007B6C7C" w:rsidRPr="00F868F4">
        <w:rPr>
          <w:sz w:val="28"/>
          <w:szCs w:val="28"/>
        </w:rPr>
        <w:t xml:space="preserve">contiene </w:t>
      </w:r>
      <w:r w:rsidR="00367745" w:rsidRPr="00F868F4">
        <w:rPr>
          <w:sz w:val="28"/>
          <w:szCs w:val="28"/>
        </w:rPr>
        <w:t>pautas</w:t>
      </w:r>
      <w:r w:rsidR="00EB7C75" w:rsidRPr="00F868F4">
        <w:rPr>
          <w:sz w:val="28"/>
          <w:szCs w:val="28"/>
        </w:rPr>
        <w:t xml:space="preserve"> respecto a</w:t>
      </w:r>
      <w:r w:rsidR="007B6C7C" w:rsidRPr="00F868F4">
        <w:rPr>
          <w:sz w:val="28"/>
          <w:szCs w:val="28"/>
        </w:rPr>
        <w:t xml:space="preserve"> la regulación</w:t>
      </w:r>
      <w:r w:rsidR="00A66B76" w:rsidRPr="00F868F4">
        <w:rPr>
          <w:sz w:val="28"/>
          <w:szCs w:val="28"/>
        </w:rPr>
        <w:t xml:space="preserve"> de los cargos de elección popular </w:t>
      </w:r>
      <w:r w:rsidR="0087217C" w:rsidRPr="00F868F4">
        <w:rPr>
          <w:sz w:val="28"/>
          <w:szCs w:val="28"/>
        </w:rPr>
        <w:t>de</w:t>
      </w:r>
      <w:r w:rsidR="00A66B76" w:rsidRPr="00F868F4">
        <w:rPr>
          <w:sz w:val="28"/>
          <w:szCs w:val="28"/>
        </w:rPr>
        <w:t xml:space="preserve"> las entidades federativas (</w:t>
      </w:r>
      <w:r w:rsidR="009F7A02" w:rsidRPr="00F868F4">
        <w:rPr>
          <w:sz w:val="28"/>
          <w:szCs w:val="28"/>
        </w:rPr>
        <w:t>gubernaturas, legislaturas locales y ayuntamientos)</w:t>
      </w:r>
      <w:r w:rsidR="00A66B76" w:rsidRPr="00F868F4">
        <w:rPr>
          <w:sz w:val="28"/>
          <w:szCs w:val="28"/>
        </w:rPr>
        <w:t xml:space="preserve"> y </w:t>
      </w:r>
      <w:r w:rsidR="000E02A7" w:rsidRPr="00F868F4">
        <w:rPr>
          <w:sz w:val="28"/>
          <w:szCs w:val="28"/>
        </w:rPr>
        <w:t>a</w:t>
      </w:r>
      <w:r w:rsidR="00243CBF" w:rsidRPr="00F868F4">
        <w:rPr>
          <w:sz w:val="28"/>
          <w:szCs w:val="28"/>
        </w:rPr>
        <w:t xml:space="preserve"> la organización de</w:t>
      </w:r>
      <w:r w:rsidR="00A66B76" w:rsidRPr="00F868F4">
        <w:rPr>
          <w:sz w:val="28"/>
          <w:szCs w:val="28"/>
        </w:rPr>
        <w:t xml:space="preserve"> los procesos para su renovación</w:t>
      </w:r>
      <w:r w:rsidR="00EB7C75" w:rsidRPr="00F868F4">
        <w:rPr>
          <w:sz w:val="28"/>
          <w:szCs w:val="28"/>
        </w:rPr>
        <w:t>.</w:t>
      </w:r>
    </w:p>
    <w:p w14:paraId="60B4AB68" w14:textId="02B47B72" w:rsidR="00B06A53" w:rsidRPr="00F868F4" w:rsidRDefault="00EF7091">
      <w:pPr>
        <w:pStyle w:val="Prrafo"/>
        <w:numPr>
          <w:ilvl w:val="0"/>
          <w:numId w:val="1"/>
        </w:numPr>
        <w:ind w:left="0" w:hanging="567"/>
        <w:rPr>
          <w:sz w:val="28"/>
          <w:szCs w:val="28"/>
        </w:rPr>
      </w:pPr>
      <w:r w:rsidRPr="00F868F4">
        <w:rPr>
          <w:sz w:val="28"/>
          <w:szCs w:val="28"/>
        </w:rPr>
        <w:t xml:space="preserve">En la fracción I del segundo párrafo del artículo 116 constitucional se estipula que </w:t>
      </w:r>
      <w:r w:rsidRPr="00F868F4">
        <w:rPr>
          <w:b/>
          <w:bCs/>
          <w:sz w:val="28"/>
          <w:szCs w:val="28"/>
        </w:rPr>
        <w:t>las gubernaturas de los estados no podrán durar en su encargo más de seis años</w:t>
      </w:r>
      <w:r w:rsidRPr="00F868F4">
        <w:rPr>
          <w:sz w:val="28"/>
          <w:szCs w:val="28"/>
        </w:rPr>
        <w:t>.</w:t>
      </w:r>
      <w:r w:rsidR="004166CD" w:rsidRPr="00F868F4">
        <w:rPr>
          <w:sz w:val="28"/>
          <w:szCs w:val="28"/>
        </w:rPr>
        <w:t xml:space="preserve"> Por otra parte, </w:t>
      </w:r>
      <w:r w:rsidR="007F3BC5" w:rsidRPr="00F868F4">
        <w:rPr>
          <w:sz w:val="28"/>
          <w:szCs w:val="28"/>
        </w:rPr>
        <w:t xml:space="preserve">mediante </w:t>
      </w:r>
      <w:r w:rsidR="00D13EEB" w:rsidRPr="00F868F4">
        <w:rPr>
          <w:sz w:val="28"/>
          <w:szCs w:val="28"/>
        </w:rPr>
        <w:t xml:space="preserve">el Decreto de reforma a la Constitución Política del país en materia política-electoral, publicado el diez de febrero de dos mil catorce, se incorporó </w:t>
      </w:r>
      <w:r w:rsidR="004166CD" w:rsidRPr="00F868F4">
        <w:rPr>
          <w:sz w:val="28"/>
          <w:szCs w:val="28"/>
        </w:rPr>
        <w:t xml:space="preserve">en el inciso </w:t>
      </w:r>
      <w:r w:rsidR="003B499B" w:rsidRPr="00F868F4">
        <w:rPr>
          <w:sz w:val="28"/>
          <w:szCs w:val="28"/>
        </w:rPr>
        <w:t xml:space="preserve">n) de la fracción IV </w:t>
      </w:r>
      <w:r w:rsidR="00D13EEB" w:rsidRPr="00F868F4">
        <w:rPr>
          <w:sz w:val="28"/>
          <w:szCs w:val="28"/>
        </w:rPr>
        <w:t>del artículo</w:t>
      </w:r>
      <w:r w:rsidR="009032AF" w:rsidRPr="00F868F4">
        <w:rPr>
          <w:sz w:val="28"/>
          <w:szCs w:val="28"/>
        </w:rPr>
        <w:t xml:space="preserve"> 116</w:t>
      </w:r>
      <w:r w:rsidR="008C3033" w:rsidRPr="00F868F4">
        <w:rPr>
          <w:sz w:val="28"/>
          <w:szCs w:val="28"/>
        </w:rPr>
        <w:t>,</w:t>
      </w:r>
      <w:r w:rsidR="003B499B" w:rsidRPr="00F868F4">
        <w:rPr>
          <w:sz w:val="28"/>
          <w:szCs w:val="28"/>
        </w:rPr>
        <w:t xml:space="preserve"> como </w:t>
      </w:r>
      <w:r w:rsidR="00721DF5" w:rsidRPr="00F868F4">
        <w:rPr>
          <w:sz w:val="28"/>
          <w:szCs w:val="28"/>
        </w:rPr>
        <w:t>una de las bases a observar por las entidades federativas en materia electoral</w:t>
      </w:r>
      <w:r w:rsidR="008C3033" w:rsidRPr="00F868F4">
        <w:rPr>
          <w:sz w:val="28"/>
          <w:szCs w:val="28"/>
        </w:rPr>
        <w:t xml:space="preserve">, la exigencia de que </w:t>
      </w:r>
      <w:r w:rsidR="008C3033" w:rsidRPr="00F868F4">
        <w:rPr>
          <w:i/>
          <w:iCs/>
          <w:sz w:val="28"/>
          <w:szCs w:val="28"/>
        </w:rPr>
        <w:t>“</w:t>
      </w:r>
      <w:r w:rsidR="008C3033" w:rsidRPr="00F868F4">
        <w:rPr>
          <w:b/>
          <w:bCs/>
          <w:i/>
          <w:iCs/>
          <w:sz w:val="28"/>
          <w:szCs w:val="28"/>
        </w:rPr>
        <w:t>[s]e verifique, al menos, una elección local en la misma fecha en que tenga lugar alguna de las elecciones federales</w:t>
      </w:r>
      <w:r w:rsidR="008C3033" w:rsidRPr="00F868F4">
        <w:rPr>
          <w:i/>
          <w:iCs/>
          <w:sz w:val="28"/>
          <w:szCs w:val="28"/>
        </w:rPr>
        <w:t>”</w:t>
      </w:r>
      <w:r w:rsidR="00AB052B" w:rsidRPr="00F868F4">
        <w:rPr>
          <w:sz w:val="28"/>
          <w:szCs w:val="28"/>
        </w:rPr>
        <w:t>; es decir, la celebración concurrente de uno o más de los procesos correspondientes a esos ámbitos.</w:t>
      </w:r>
    </w:p>
    <w:p w14:paraId="097B23BF" w14:textId="03020CCF" w:rsidR="00155DBD" w:rsidRPr="00F868F4" w:rsidRDefault="00BB03BD" w:rsidP="00AB2937">
      <w:pPr>
        <w:pStyle w:val="Prrafo"/>
        <w:numPr>
          <w:ilvl w:val="0"/>
          <w:numId w:val="1"/>
        </w:numPr>
        <w:ind w:left="0" w:hanging="567"/>
        <w:rPr>
          <w:sz w:val="28"/>
          <w:szCs w:val="28"/>
        </w:rPr>
      </w:pPr>
      <w:r w:rsidRPr="00F868F4">
        <w:rPr>
          <w:sz w:val="28"/>
          <w:szCs w:val="28"/>
        </w:rPr>
        <w:t xml:space="preserve">De manera reciente, este Tribunal Pleno ha tenido oportunidad de analizar la regularidad constitucional de </w:t>
      </w:r>
      <w:r w:rsidR="005376B3" w:rsidRPr="00F868F4">
        <w:rPr>
          <w:sz w:val="28"/>
          <w:szCs w:val="28"/>
        </w:rPr>
        <w:t>normas análogas</w:t>
      </w:r>
      <w:r w:rsidR="005648DA" w:rsidRPr="00F868F4">
        <w:rPr>
          <w:sz w:val="28"/>
          <w:szCs w:val="28"/>
        </w:rPr>
        <w:t xml:space="preserve"> a las que se impugnan en </w:t>
      </w:r>
      <w:r w:rsidR="00114E8C" w:rsidRPr="00F868F4">
        <w:rPr>
          <w:sz w:val="28"/>
          <w:szCs w:val="28"/>
        </w:rPr>
        <w:t>este asunto</w:t>
      </w:r>
      <w:r w:rsidR="005648DA" w:rsidRPr="00F868F4">
        <w:rPr>
          <w:sz w:val="28"/>
          <w:szCs w:val="28"/>
        </w:rPr>
        <w:t xml:space="preserve">, a la luz </w:t>
      </w:r>
      <w:r w:rsidR="00FB095F" w:rsidRPr="00F868F4">
        <w:rPr>
          <w:sz w:val="28"/>
          <w:szCs w:val="28"/>
        </w:rPr>
        <w:t>del parámetro</w:t>
      </w:r>
      <w:r w:rsidR="005648DA" w:rsidRPr="00F868F4">
        <w:rPr>
          <w:sz w:val="28"/>
          <w:szCs w:val="28"/>
        </w:rPr>
        <w:t xml:space="preserve"> </w:t>
      </w:r>
      <w:r w:rsidR="007D14EB" w:rsidRPr="00F868F4">
        <w:rPr>
          <w:sz w:val="28"/>
          <w:szCs w:val="28"/>
        </w:rPr>
        <w:t>derivado</w:t>
      </w:r>
      <w:r w:rsidR="00B35C87" w:rsidRPr="00F868F4">
        <w:rPr>
          <w:sz w:val="28"/>
          <w:szCs w:val="28"/>
        </w:rPr>
        <w:t xml:space="preserve"> del artículo 116 </w:t>
      </w:r>
      <w:r w:rsidR="00B35C87" w:rsidRPr="00F868F4">
        <w:rPr>
          <w:sz w:val="28"/>
          <w:szCs w:val="28"/>
        </w:rPr>
        <w:lastRenderedPageBreak/>
        <w:t>constitucional.</w:t>
      </w:r>
      <w:r w:rsidR="00DA0F79" w:rsidRPr="00F868F4">
        <w:rPr>
          <w:sz w:val="28"/>
          <w:szCs w:val="28"/>
        </w:rPr>
        <w:t xml:space="preserve"> </w:t>
      </w:r>
      <w:r w:rsidR="00F646C3" w:rsidRPr="00F868F4">
        <w:rPr>
          <w:sz w:val="28"/>
          <w:szCs w:val="28"/>
        </w:rPr>
        <w:t xml:space="preserve">En la </w:t>
      </w:r>
      <w:r w:rsidR="00F646C3" w:rsidRPr="00F868F4">
        <w:rPr>
          <w:b/>
          <w:bCs/>
          <w:sz w:val="28"/>
          <w:szCs w:val="28"/>
        </w:rPr>
        <w:t>acción de inconstitucionalidad 13/2015</w:t>
      </w:r>
      <w:r w:rsidR="00653EF0" w:rsidRPr="00F868F4">
        <w:rPr>
          <w:rStyle w:val="Refdenotaalpie"/>
          <w:sz w:val="28"/>
          <w:szCs w:val="28"/>
        </w:rPr>
        <w:footnoteReference w:id="50"/>
      </w:r>
      <w:r w:rsidR="00F646C3" w:rsidRPr="00F868F4">
        <w:rPr>
          <w:sz w:val="28"/>
          <w:szCs w:val="28"/>
        </w:rPr>
        <w:t xml:space="preserve">, se analizó la </w:t>
      </w:r>
      <w:r w:rsidR="00F5552D" w:rsidRPr="00F868F4">
        <w:rPr>
          <w:sz w:val="28"/>
          <w:szCs w:val="28"/>
        </w:rPr>
        <w:t>validez</w:t>
      </w:r>
      <w:r w:rsidR="00F646C3" w:rsidRPr="00F868F4">
        <w:rPr>
          <w:sz w:val="28"/>
          <w:szCs w:val="28"/>
        </w:rPr>
        <w:t xml:space="preserve"> de</w:t>
      </w:r>
      <w:r w:rsidR="00AB2937" w:rsidRPr="00F868F4">
        <w:rPr>
          <w:sz w:val="28"/>
          <w:szCs w:val="28"/>
        </w:rPr>
        <w:t xml:space="preserve"> las disposiciones transitorias de un decreto de reforma</w:t>
      </w:r>
      <w:r w:rsidR="00155DBD" w:rsidRPr="00F868F4">
        <w:rPr>
          <w:sz w:val="28"/>
          <w:szCs w:val="28"/>
        </w:rPr>
        <w:t xml:space="preserve"> en materia electoral</w:t>
      </w:r>
      <w:r w:rsidR="00AB2937" w:rsidRPr="00F868F4">
        <w:rPr>
          <w:sz w:val="28"/>
          <w:szCs w:val="28"/>
        </w:rPr>
        <w:t xml:space="preserve"> a la </w:t>
      </w:r>
      <w:r w:rsidR="007E6B22" w:rsidRPr="00F868F4">
        <w:rPr>
          <w:sz w:val="28"/>
          <w:szCs w:val="28"/>
        </w:rPr>
        <w:t>Constitución Política del Estado de Veracruz</w:t>
      </w:r>
      <w:r w:rsidR="00AB2937" w:rsidRPr="00F868F4">
        <w:rPr>
          <w:sz w:val="28"/>
          <w:szCs w:val="28"/>
        </w:rPr>
        <w:t xml:space="preserve"> de Ignacio </w:t>
      </w:r>
      <w:r w:rsidR="003E55C0" w:rsidRPr="00F868F4">
        <w:rPr>
          <w:sz w:val="28"/>
          <w:szCs w:val="28"/>
        </w:rPr>
        <w:t>de la Llave</w:t>
      </w:r>
      <w:r w:rsidR="00F5552D" w:rsidRPr="00F868F4">
        <w:rPr>
          <w:sz w:val="28"/>
          <w:szCs w:val="28"/>
        </w:rPr>
        <w:t>,</w:t>
      </w:r>
      <w:r w:rsidR="00155DBD" w:rsidRPr="00F868F4">
        <w:rPr>
          <w:sz w:val="28"/>
          <w:szCs w:val="28"/>
        </w:rPr>
        <w:t xml:space="preserve"> </w:t>
      </w:r>
      <w:r w:rsidR="001F761C" w:rsidRPr="00F868F4">
        <w:rPr>
          <w:sz w:val="28"/>
          <w:szCs w:val="28"/>
        </w:rPr>
        <w:t xml:space="preserve">en </w:t>
      </w:r>
      <w:r w:rsidR="001A658C" w:rsidRPr="00F868F4">
        <w:rPr>
          <w:sz w:val="28"/>
          <w:szCs w:val="28"/>
        </w:rPr>
        <w:t>las</w:t>
      </w:r>
      <w:r w:rsidR="001F761C" w:rsidRPr="00F868F4">
        <w:rPr>
          <w:sz w:val="28"/>
          <w:szCs w:val="28"/>
        </w:rPr>
        <w:t xml:space="preserve"> que se estableció que las diputaciones locales y la </w:t>
      </w:r>
      <w:r w:rsidR="0078519A" w:rsidRPr="00F868F4">
        <w:rPr>
          <w:sz w:val="28"/>
          <w:szCs w:val="28"/>
        </w:rPr>
        <w:t>g</w:t>
      </w:r>
      <w:r w:rsidR="001F761C" w:rsidRPr="00F868F4">
        <w:rPr>
          <w:sz w:val="28"/>
          <w:szCs w:val="28"/>
        </w:rPr>
        <w:t>ubernatura</w:t>
      </w:r>
      <w:r w:rsidR="00F1118E" w:rsidRPr="00F868F4">
        <w:rPr>
          <w:sz w:val="28"/>
          <w:szCs w:val="28"/>
        </w:rPr>
        <w:t xml:space="preserve"> electas en dos mil dieciséis ocuparían los encargos por un periodo de dos años</w:t>
      </w:r>
      <w:r w:rsidR="00320EC5" w:rsidRPr="00F868F4">
        <w:rPr>
          <w:sz w:val="28"/>
          <w:szCs w:val="28"/>
        </w:rPr>
        <w:t xml:space="preserve">, con el objetivo de </w:t>
      </w:r>
      <w:r w:rsidR="0048067B" w:rsidRPr="00F868F4">
        <w:rPr>
          <w:sz w:val="28"/>
          <w:szCs w:val="28"/>
        </w:rPr>
        <w:t>homologar</w:t>
      </w:r>
      <w:r w:rsidR="00E517E6" w:rsidRPr="00F868F4">
        <w:rPr>
          <w:sz w:val="28"/>
          <w:szCs w:val="28"/>
        </w:rPr>
        <w:t xml:space="preserve"> </w:t>
      </w:r>
      <w:r w:rsidR="002022C1" w:rsidRPr="00F868F4">
        <w:rPr>
          <w:sz w:val="28"/>
          <w:szCs w:val="28"/>
        </w:rPr>
        <w:t>dichas</w:t>
      </w:r>
      <w:r w:rsidR="00E517E6" w:rsidRPr="00F868F4">
        <w:rPr>
          <w:sz w:val="28"/>
          <w:szCs w:val="28"/>
        </w:rPr>
        <w:t xml:space="preserve"> elecciones con</w:t>
      </w:r>
      <w:r w:rsidR="0048067B" w:rsidRPr="00F868F4">
        <w:rPr>
          <w:sz w:val="28"/>
          <w:szCs w:val="28"/>
        </w:rPr>
        <w:t xml:space="preserve"> </w:t>
      </w:r>
      <w:r w:rsidR="00E517E6" w:rsidRPr="00F868F4">
        <w:rPr>
          <w:sz w:val="28"/>
          <w:szCs w:val="28"/>
        </w:rPr>
        <w:t>las</w:t>
      </w:r>
      <w:r w:rsidR="00320EC5" w:rsidRPr="00F868F4">
        <w:rPr>
          <w:sz w:val="28"/>
          <w:szCs w:val="28"/>
        </w:rPr>
        <w:t xml:space="preserve"> federales de dos mil dieciocho</w:t>
      </w:r>
      <w:r w:rsidR="00504F08" w:rsidRPr="00F868F4">
        <w:rPr>
          <w:rStyle w:val="Refdenotaalpie"/>
          <w:sz w:val="28"/>
          <w:szCs w:val="28"/>
        </w:rPr>
        <w:footnoteReference w:id="51"/>
      </w:r>
      <w:r w:rsidR="00320EC5" w:rsidRPr="00F868F4">
        <w:rPr>
          <w:sz w:val="28"/>
          <w:szCs w:val="28"/>
        </w:rPr>
        <w:t>.</w:t>
      </w:r>
    </w:p>
    <w:p w14:paraId="23CEA578" w14:textId="34520FAE" w:rsidR="00F0203E" w:rsidRPr="00F868F4" w:rsidRDefault="0078519A" w:rsidP="00AB2937">
      <w:pPr>
        <w:pStyle w:val="Prrafo"/>
        <w:numPr>
          <w:ilvl w:val="0"/>
          <w:numId w:val="1"/>
        </w:numPr>
        <w:ind w:left="0" w:hanging="567"/>
        <w:rPr>
          <w:sz w:val="28"/>
          <w:szCs w:val="28"/>
        </w:rPr>
      </w:pPr>
      <w:r w:rsidRPr="00F868F4">
        <w:rPr>
          <w:sz w:val="28"/>
          <w:szCs w:val="28"/>
        </w:rPr>
        <w:t>Siguiendo diversos precedentes</w:t>
      </w:r>
      <w:r w:rsidR="00AF0724" w:rsidRPr="00F868F4">
        <w:rPr>
          <w:rStyle w:val="Refdenotaalpie"/>
          <w:sz w:val="28"/>
          <w:szCs w:val="28"/>
        </w:rPr>
        <w:footnoteReference w:id="52"/>
      </w:r>
      <w:r w:rsidRPr="00F868F4">
        <w:rPr>
          <w:sz w:val="28"/>
          <w:szCs w:val="28"/>
        </w:rPr>
        <w:t xml:space="preserve">, concluyó que </w:t>
      </w:r>
      <w:r w:rsidR="00DD7155" w:rsidRPr="00F868F4">
        <w:rPr>
          <w:b/>
          <w:bCs/>
          <w:sz w:val="28"/>
          <w:szCs w:val="28"/>
        </w:rPr>
        <w:t>el articulado transitorio</w:t>
      </w:r>
      <w:r w:rsidRPr="00F868F4">
        <w:rPr>
          <w:b/>
          <w:bCs/>
          <w:sz w:val="28"/>
          <w:szCs w:val="28"/>
        </w:rPr>
        <w:t xml:space="preserve"> impugnad</w:t>
      </w:r>
      <w:r w:rsidR="00DD7155" w:rsidRPr="00F868F4">
        <w:rPr>
          <w:b/>
          <w:bCs/>
          <w:sz w:val="28"/>
          <w:szCs w:val="28"/>
        </w:rPr>
        <w:t>o</w:t>
      </w:r>
      <w:r w:rsidRPr="00F868F4">
        <w:rPr>
          <w:sz w:val="28"/>
          <w:szCs w:val="28"/>
        </w:rPr>
        <w:t>, en cuanto fija el periodo que, por única ocasión, durarán en el cargo las diputaciones y la gubernatura electa en junio de dos mil dieciséis (dos años)</w:t>
      </w:r>
      <w:r w:rsidR="00D27F44" w:rsidRPr="00F868F4">
        <w:rPr>
          <w:sz w:val="28"/>
          <w:szCs w:val="28"/>
        </w:rPr>
        <w:t>, con el fin de adecuarse a la reforma constitucional en materia político-electoral de dos mil catorce,</w:t>
      </w:r>
      <w:r w:rsidR="008937DE" w:rsidRPr="00F868F4">
        <w:rPr>
          <w:sz w:val="28"/>
          <w:szCs w:val="28"/>
        </w:rPr>
        <w:t xml:space="preserve"> que exigía</w:t>
      </w:r>
      <w:r w:rsidR="007E41C5" w:rsidRPr="00F868F4">
        <w:rPr>
          <w:sz w:val="28"/>
          <w:szCs w:val="28"/>
        </w:rPr>
        <w:t xml:space="preserve"> la concurrencia de al menos una elección estatal con una federal,</w:t>
      </w:r>
      <w:r w:rsidR="00D27F44" w:rsidRPr="00F868F4">
        <w:rPr>
          <w:sz w:val="28"/>
          <w:szCs w:val="28"/>
        </w:rPr>
        <w:t xml:space="preserve"> </w:t>
      </w:r>
      <w:r w:rsidR="00D27F44" w:rsidRPr="00F868F4">
        <w:rPr>
          <w:b/>
          <w:bCs/>
          <w:sz w:val="28"/>
          <w:szCs w:val="28"/>
        </w:rPr>
        <w:t xml:space="preserve">no </w:t>
      </w:r>
      <w:r w:rsidR="007E41C5" w:rsidRPr="00F868F4">
        <w:rPr>
          <w:b/>
          <w:bCs/>
          <w:sz w:val="28"/>
          <w:szCs w:val="28"/>
        </w:rPr>
        <w:t>resultaba</w:t>
      </w:r>
      <w:r w:rsidR="00D27F44" w:rsidRPr="00F868F4">
        <w:rPr>
          <w:b/>
          <w:bCs/>
          <w:sz w:val="28"/>
          <w:szCs w:val="28"/>
        </w:rPr>
        <w:t xml:space="preserve"> inconstitucional</w:t>
      </w:r>
      <w:r w:rsidR="007E41C5" w:rsidRPr="00F868F4">
        <w:rPr>
          <w:sz w:val="28"/>
          <w:szCs w:val="28"/>
        </w:rPr>
        <w:t>. Lo anterior,</w:t>
      </w:r>
      <w:r w:rsidR="00185E23" w:rsidRPr="00F868F4">
        <w:rPr>
          <w:sz w:val="28"/>
          <w:szCs w:val="28"/>
        </w:rPr>
        <w:t xml:space="preserve"> puesto que el artículo 116 </w:t>
      </w:r>
      <w:r w:rsidR="00185E23" w:rsidRPr="00F868F4">
        <w:rPr>
          <w:b/>
          <w:bCs/>
          <w:sz w:val="28"/>
          <w:szCs w:val="28"/>
        </w:rPr>
        <w:t xml:space="preserve">no fija ningún lineamiento para el lapso mínimo que deberá durar una persona en </w:t>
      </w:r>
      <w:r w:rsidR="00185E23" w:rsidRPr="00F868F4">
        <w:rPr>
          <w:b/>
          <w:bCs/>
          <w:sz w:val="28"/>
          <w:szCs w:val="28"/>
        </w:rPr>
        <w:lastRenderedPageBreak/>
        <w:t>el cargo de la gubernatura</w:t>
      </w:r>
      <w:r w:rsidR="00185E23" w:rsidRPr="00F868F4">
        <w:rPr>
          <w:sz w:val="28"/>
          <w:szCs w:val="28"/>
        </w:rPr>
        <w:t xml:space="preserve">, sino que solo indica el </w:t>
      </w:r>
      <w:r w:rsidR="007C5A5C" w:rsidRPr="00F868F4">
        <w:rPr>
          <w:sz w:val="28"/>
          <w:szCs w:val="28"/>
        </w:rPr>
        <w:t>límite máximo (seis años)</w:t>
      </w:r>
      <w:r w:rsidR="00375F42" w:rsidRPr="00F868F4">
        <w:rPr>
          <w:sz w:val="28"/>
          <w:szCs w:val="28"/>
        </w:rPr>
        <w:t xml:space="preserve">. Como la Constitución </w:t>
      </w:r>
      <w:r w:rsidR="00375F42" w:rsidRPr="00F868F4">
        <w:rPr>
          <w:b/>
          <w:bCs/>
          <w:sz w:val="28"/>
          <w:szCs w:val="28"/>
        </w:rPr>
        <w:t>no indica que la duración en el cargo de una gubernatura</w:t>
      </w:r>
      <w:r w:rsidR="00375F42" w:rsidRPr="00F868F4">
        <w:rPr>
          <w:sz w:val="28"/>
          <w:szCs w:val="28"/>
        </w:rPr>
        <w:t xml:space="preserve"> </w:t>
      </w:r>
      <w:r w:rsidR="00375F42" w:rsidRPr="00F868F4">
        <w:rPr>
          <w:b/>
          <w:bCs/>
          <w:sz w:val="28"/>
          <w:szCs w:val="28"/>
        </w:rPr>
        <w:t>debe ser de seis años</w:t>
      </w:r>
      <w:r w:rsidR="00375F42" w:rsidRPr="00F868F4">
        <w:rPr>
          <w:sz w:val="28"/>
          <w:szCs w:val="28"/>
        </w:rPr>
        <w:t>, las legislaturas de los estados tienen libertad para fijar</w:t>
      </w:r>
      <w:r w:rsidR="0095624C" w:rsidRPr="00F868F4">
        <w:rPr>
          <w:sz w:val="28"/>
          <w:szCs w:val="28"/>
        </w:rPr>
        <w:t>lo</w:t>
      </w:r>
      <w:r w:rsidR="008955F0" w:rsidRPr="00F868F4">
        <w:rPr>
          <w:sz w:val="28"/>
          <w:szCs w:val="28"/>
        </w:rPr>
        <w:t>,</w:t>
      </w:r>
      <w:r w:rsidR="00872E10" w:rsidRPr="00F868F4">
        <w:rPr>
          <w:sz w:val="28"/>
          <w:szCs w:val="28"/>
        </w:rPr>
        <w:t xml:space="preserve"> mientras no excedan el tope.</w:t>
      </w:r>
    </w:p>
    <w:p w14:paraId="19718971" w14:textId="7D0AEC5E" w:rsidR="008955F0" w:rsidRPr="00F868F4" w:rsidRDefault="00F54994" w:rsidP="00AB2937">
      <w:pPr>
        <w:pStyle w:val="Prrafo"/>
        <w:numPr>
          <w:ilvl w:val="0"/>
          <w:numId w:val="1"/>
        </w:numPr>
        <w:ind w:left="0" w:hanging="567"/>
        <w:rPr>
          <w:sz w:val="28"/>
          <w:szCs w:val="28"/>
        </w:rPr>
      </w:pPr>
      <w:r w:rsidRPr="00F868F4">
        <w:rPr>
          <w:sz w:val="28"/>
          <w:szCs w:val="28"/>
        </w:rPr>
        <w:t xml:space="preserve">Por otra parte, en la </w:t>
      </w:r>
      <w:r w:rsidRPr="00F868F4">
        <w:rPr>
          <w:b/>
          <w:bCs/>
          <w:sz w:val="28"/>
          <w:szCs w:val="28"/>
        </w:rPr>
        <w:t>acción de inconstitucionalidad 112/2019 y sus acumuladas 113/2019, 114/2019, 115/2019, 119/2019 y 120/2019</w:t>
      </w:r>
      <w:r w:rsidR="00202B29" w:rsidRPr="00F868F4">
        <w:rPr>
          <w:rStyle w:val="Refdenotaalpie"/>
          <w:b/>
          <w:bCs/>
          <w:sz w:val="28"/>
          <w:szCs w:val="28"/>
        </w:rPr>
        <w:footnoteReference w:id="53"/>
      </w:r>
      <w:r w:rsidRPr="00F868F4">
        <w:rPr>
          <w:sz w:val="28"/>
          <w:szCs w:val="28"/>
        </w:rPr>
        <w:t xml:space="preserve">, </w:t>
      </w:r>
      <w:r w:rsidR="0025321D" w:rsidRPr="00F868F4">
        <w:rPr>
          <w:sz w:val="28"/>
          <w:szCs w:val="28"/>
        </w:rPr>
        <w:t xml:space="preserve">se analizó </w:t>
      </w:r>
      <w:r w:rsidR="008955F0" w:rsidRPr="00F868F4">
        <w:rPr>
          <w:sz w:val="28"/>
          <w:szCs w:val="28"/>
        </w:rPr>
        <w:t xml:space="preserve">una </w:t>
      </w:r>
      <w:r w:rsidR="006606F2" w:rsidRPr="00F868F4">
        <w:rPr>
          <w:sz w:val="28"/>
          <w:szCs w:val="28"/>
        </w:rPr>
        <w:t xml:space="preserve">problemática que requirió </w:t>
      </w:r>
      <w:r w:rsidR="00BC0C7E" w:rsidRPr="00F868F4">
        <w:rPr>
          <w:sz w:val="28"/>
          <w:szCs w:val="28"/>
        </w:rPr>
        <w:t>desglosar los parámetros que se desprenden del artículo 116 constitucional</w:t>
      </w:r>
      <w:r w:rsidR="006F4DA3" w:rsidRPr="00F868F4">
        <w:rPr>
          <w:sz w:val="28"/>
          <w:szCs w:val="28"/>
        </w:rPr>
        <w:t xml:space="preserve"> relativos a </w:t>
      </w:r>
      <w:r w:rsidR="006F4DA3" w:rsidRPr="00F868F4">
        <w:rPr>
          <w:b/>
          <w:bCs/>
          <w:sz w:val="28"/>
          <w:szCs w:val="28"/>
        </w:rPr>
        <w:t>la modificación del periodo de duración de los cargos de elección popular de las entidades federativas</w:t>
      </w:r>
      <w:r w:rsidR="00BC0C7E" w:rsidRPr="00F868F4">
        <w:rPr>
          <w:sz w:val="28"/>
          <w:szCs w:val="28"/>
        </w:rPr>
        <w:t>.</w:t>
      </w:r>
      <w:r w:rsidR="00FF62BC" w:rsidRPr="00F868F4">
        <w:rPr>
          <w:sz w:val="28"/>
          <w:szCs w:val="28"/>
        </w:rPr>
        <w:t xml:space="preserve"> </w:t>
      </w:r>
      <w:r w:rsidR="00960514" w:rsidRPr="00F868F4">
        <w:rPr>
          <w:sz w:val="28"/>
          <w:szCs w:val="28"/>
        </w:rPr>
        <w:t xml:space="preserve">El diecisiete de octubre de dos mil catorce se </w:t>
      </w:r>
      <w:r w:rsidR="003718FC" w:rsidRPr="00F868F4">
        <w:rPr>
          <w:sz w:val="28"/>
          <w:szCs w:val="28"/>
        </w:rPr>
        <w:t>aprobó una reforma en materia electoral de</w:t>
      </w:r>
      <w:r w:rsidR="00960514" w:rsidRPr="00F868F4">
        <w:rPr>
          <w:sz w:val="28"/>
          <w:szCs w:val="28"/>
        </w:rPr>
        <w:t xml:space="preserve"> la Constitución Política del Estado Libre y Soberano de Baja California</w:t>
      </w:r>
      <w:r w:rsidR="003718FC" w:rsidRPr="00F868F4">
        <w:rPr>
          <w:sz w:val="28"/>
          <w:szCs w:val="28"/>
        </w:rPr>
        <w:t xml:space="preserve"> y, entre otros aspectos, se </w:t>
      </w:r>
      <w:r w:rsidR="00693A39" w:rsidRPr="00F868F4">
        <w:rPr>
          <w:sz w:val="28"/>
          <w:szCs w:val="28"/>
        </w:rPr>
        <w:t>adoptó una dispo</w:t>
      </w:r>
      <w:r w:rsidR="00C96A65" w:rsidRPr="00F868F4">
        <w:rPr>
          <w:sz w:val="28"/>
          <w:szCs w:val="28"/>
        </w:rPr>
        <w:t>sición transitoria</w:t>
      </w:r>
      <w:r w:rsidR="00F666AF" w:rsidRPr="00F868F4">
        <w:rPr>
          <w:rStyle w:val="Refdenotaalpie"/>
          <w:sz w:val="28"/>
          <w:szCs w:val="28"/>
        </w:rPr>
        <w:footnoteReference w:id="54"/>
      </w:r>
      <w:r w:rsidR="00C96A65" w:rsidRPr="00F868F4">
        <w:rPr>
          <w:sz w:val="28"/>
          <w:szCs w:val="28"/>
        </w:rPr>
        <w:t xml:space="preserve"> </w:t>
      </w:r>
      <w:r w:rsidR="00604501" w:rsidRPr="00F868F4">
        <w:rPr>
          <w:sz w:val="28"/>
          <w:szCs w:val="28"/>
        </w:rPr>
        <w:t>en el sentido de que</w:t>
      </w:r>
      <w:r w:rsidR="00C96A65" w:rsidRPr="00F868F4">
        <w:rPr>
          <w:sz w:val="28"/>
          <w:szCs w:val="28"/>
        </w:rPr>
        <w:t xml:space="preserve">, </w:t>
      </w:r>
      <w:r w:rsidR="004C3F1D" w:rsidRPr="00F868F4">
        <w:rPr>
          <w:sz w:val="28"/>
          <w:szCs w:val="28"/>
        </w:rPr>
        <w:t>con el objeto</w:t>
      </w:r>
      <w:r w:rsidR="00C96A65" w:rsidRPr="00F868F4">
        <w:rPr>
          <w:sz w:val="28"/>
          <w:szCs w:val="28"/>
        </w:rPr>
        <w:t xml:space="preserve"> de</w:t>
      </w:r>
      <w:r w:rsidR="004C3F1D" w:rsidRPr="00F868F4">
        <w:rPr>
          <w:sz w:val="28"/>
          <w:szCs w:val="28"/>
        </w:rPr>
        <w:t xml:space="preserve"> lograr</w:t>
      </w:r>
      <w:r w:rsidR="00C96A65" w:rsidRPr="00F868F4">
        <w:rPr>
          <w:sz w:val="28"/>
          <w:szCs w:val="28"/>
        </w:rPr>
        <w:t xml:space="preserve"> la concurrencia de la elección de la Gubernatura del estado con el proceso electoral federal de dos mil veintiuno</w:t>
      </w:r>
      <w:r w:rsidR="00292A21" w:rsidRPr="00F868F4">
        <w:rPr>
          <w:sz w:val="28"/>
          <w:szCs w:val="28"/>
        </w:rPr>
        <w:t>, la persona electa para ese cargo en dos mil diecinueve lo desempeñaría</w:t>
      </w:r>
      <w:r w:rsidR="009460B5" w:rsidRPr="00F868F4">
        <w:rPr>
          <w:sz w:val="28"/>
          <w:szCs w:val="28"/>
        </w:rPr>
        <w:t xml:space="preserve"> por </w:t>
      </w:r>
      <w:r w:rsidR="006617A7" w:rsidRPr="00F868F4">
        <w:rPr>
          <w:sz w:val="28"/>
          <w:szCs w:val="28"/>
        </w:rPr>
        <w:t>un mandato excepcional de</w:t>
      </w:r>
      <w:r w:rsidR="00F666AF" w:rsidRPr="00F868F4">
        <w:rPr>
          <w:sz w:val="28"/>
          <w:szCs w:val="28"/>
        </w:rPr>
        <w:t xml:space="preserve"> solo</w:t>
      </w:r>
      <w:r w:rsidR="006617A7" w:rsidRPr="00F868F4">
        <w:rPr>
          <w:sz w:val="28"/>
          <w:szCs w:val="28"/>
        </w:rPr>
        <w:t xml:space="preserve"> </w:t>
      </w:r>
      <w:r w:rsidR="00292A21" w:rsidRPr="00F868F4">
        <w:rPr>
          <w:sz w:val="28"/>
          <w:szCs w:val="28"/>
        </w:rPr>
        <w:t>dos años.</w:t>
      </w:r>
    </w:p>
    <w:p w14:paraId="0C5746C1" w14:textId="01D02D1A" w:rsidR="00B475F1" w:rsidRPr="00F868F4" w:rsidRDefault="006F4DCF" w:rsidP="00AB2937">
      <w:pPr>
        <w:pStyle w:val="Prrafo"/>
        <w:numPr>
          <w:ilvl w:val="0"/>
          <w:numId w:val="1"/>
        </w:numPr>
        <w:ind w:left="0" w:hanging="567"/>
        <w:rPr>
          <w:sz w:val="28"/>
          <w:szCs w:val="28"/>
        </w:rPr>
      </w:pPr>
      <w:r w:rsidRPr="00F868F4">
        <w:rPr>
          <w:sz w:val="28"/>
          <w:szCs w:val="28"/>
        </w:rPr>
        <w:t>El diecisiete de octubre de dos mil diecinueve</w:t>
      </w:r>
      <w:r w:rsidR="00320304" w:rsidRPr="00F868F4">
        <w:rPr>
          <w:sz w:val="28"/>
          <w:szCs w:val="28"/>
        </w:rPr>
        <w:t>, una vez que ya había sido elect</w:t>
      </w:r>
      <w:r w:rsidR="00E220D3" w:rsidRPr="00F868F4">
        <w:rPr>
          <w:sz w:val="28"/>
          <w:szCs w:val="28"/>
        </w:rPr>
        <w:t xml:space="preserve">o el Gobernador que tomaría </w:t>
      </w:r>
      <w:r w:rsidR="000236C0" w:rsidRPr="00F868F4">
        <w:rPr>
          <w:sz w:val="28"/>
          <w:szCs w:val="28"/>
        </w:rPr>
        <w:t>posesión del encargo</w:t>
      </w:r>
      <w:r w:rsidR="00715C73" w:rsidRPr="00F868F4">
        <w:rPr>
          <w:rStyle w:val="Refdenotaalpie"/>
          <w:sz w:val="28"/>
          <w:szCs w:val="28"/>
        </w:rPr>
        <w:footnoteReference w:id="55"/>
      </w:r>
      <w:r w:rsidR="000236C0" w:rsidRPr="00F868F4">
        <w:rPr>
          <w:sz w:val="28"/>
          <w:szCs w:val="28"/>
        </w:rPr>
        <w:t xml:space="preserve">, se reformó el </w:t>
      </w:r>
      <w:r w:rsidR="00E95D4E" w:rsidRPr="00F868F4">
        <w:rPr>
          <w:sz w:val="28"/>
          <w:szCs w:val="28"/>
        </w:rPr>
        <w:t xml:space="preserve">precepto transitorio </w:t>
      </w:r>
      <w:r w:rsidR="00DF6A8D" w:rsidRPr="00F868F4">
        <w:rPr>
          <w:sz w:val="28"/>
          <w:szCs w:val="28"/>
        </w:rPr>
        <w:t>precisado</w:t>
      </w:r>
      <w:r w:rsidR="00E95D4E" w:rsidRPr="00F868F4">
        <w:rPr>
          <w:sz w:val="28"/>
          <w:szCs w:val="28"/>
        </w:rPr>
        <w:t xml:space="preserve"> con anterioridad,</w:t>
      </w:r>
      <w:r w:rsidR="00F5326B" w:rsidRPr="00F868F4">
        <w:rPr>
          <w:sz w:val="28"/>
          <w:szCs w:val="28"/>
        </w:rPr>
        <w:t xml:space="preserve"> para que el periodo fuera hasta el año dos mil veinticuatro</w:t>
      </w:r>
      <w:r w:rsidR="00C87760" w:rsidRPr="00F868F4">
        <w:rPr>
          <w:sz w:val="28"/>
          <w:szCs w:val="28"/>
        </w:rPr>
        <w:t xml:space="preserve">, de modo que la siguiente renovación </w:t>
      </w:r>
      <w:r w:rsidR="00C87760" w:rsidRPr="00F868F4">
        <w:rPr>
          <w:sz w:val="28"/>
          <w:szCs w:val="28"/>
        </w:rPr>
        <w:lastRenderedPageBreak/>
        <w:t xml:space="preserve">coincidiera con los comicios federales de </w:t>
      </w:r>
      <w:r w:rsidR="0062461A" w:rsidRPr="00F868F4">
        <w:rPr>
          <w:sz w:val="28"/>
          <w:szCs w:val="28"/>
        </w:rPr>
        <w:t>dicho</w:t>
      </w:r>
      <w:r w:rsidR="00C87760" w:rsidRPr="00F868F4">
        <w:rPr>
          <w:sz w:val="28"/>
          <w:szCs w:val="28"/>
        </w:rPr>
        <w:t xml:space="preserve"> año</w:t>
      </w:r>
      <w:r w:rsidR="008E33CC" w:rsidRPr="00F868F4">
        <w:rPr>
          <w:rStyle w:val="Refdenotaalpie"/>
          <w:sz w:val="28"/>
          <w:szCs w:val="28"/>
        </w:rPr>
        <w:footnoteReference w:id="56"/>
      </w:r>
      <w:r w:rsidR="00C87760" w:rsidRPr="00F868F4">
        <w:rPr>
          <w:sz w:val="28"/>
          <w:szCs w:val="28"/>
        </w:rPr>
        <w:t>.</w:t>
      </w:r>
      <w:r w:rsidR="0062461A" w:rsidRPr="00F868F4">
        <w:rPr>
          <w:sz w:val="28"/>
          <w:szCs w:val="28"/>
        </w:rPr>
        <w:t xml:space="preserve"> </w:t>
      </w:r>
      <w:r w:rsidR="004322A9" w:rsidRPr="00F868F4">
        <w:rPr>
          <w:sz w:val="28"/>
          <w:szCs w:val="28"/>
        </w:rPr>
        <w:t>En otras palabras,</w:t>
      </w:r>
      <w:r w:rsidR="00883D7D" w:rsidRPr="00F868F4">
        <w:rPr>
          <w:sz w:val="28"/>
          <w:szCs w:val="28"/>
        </w:rPr>
        <w:t xml:space="preserve"> después de la</w:t>
      </w:r>
      <w:r w:rsidR="00C06DD2" w:rsidRPr="00F868F4">
        <w:rPr>
          <w:sz w:val="28"/>
          <w:szCs w:val="28"/>
        </w:rPr>
        <w:t xml:space="preserve"> elección,</w:t>
      </w:r>
      <w:r w:rsidR="004322A9" w:rsidRPr="00F868F4">
        <w:rPr>
          <w:sz w:val="28"/>
          <w:szCs w:val="28"/>
        </w:rPr>
        <w:t xml:space="preserve"> se extendió el </w:t>
      </w:r>
      <w:r w:rsidR="00556758" w:rsidRPr="00F868F4">
        <w:rPr>
          <w:sz w:val="28"/>
          <w:szCs w:val="28"/>
        </w:rPr>
        <w:t xml:space="preserve">periodo original de dos </w:t>
      </w:r>
      <w:r w:rsidR="00972F11" w:rsidRPr="00F868F4">
        <w:rPr>
          <w:sz w:val="28"/>
          <w:szCs w:val="28"/>
        </w:rPr>
        <w:t>a cinco años.</w:t>
      </w:r>
    </w:p>
    <w:p w14:paraId="3C077D14" w14:textId="1ACC983D" w:rsidR="00664212" w:rsidRPr="00F868F4" w:rsidRDefault="00EC285D" w:rsidP="00AB2937">
      <w:pPr>
        <w:pStyle w:val="Prrafo"/>
        <w:numPr>
          <w:ilvl w:val="0"/>
          <w:numId w:val="1"/>
        </w:numPr>
        <w:ind w:left="0" w:hanging="567"/>
        <w:rPr>
          <w:sz w:val="28"/>
          <w:szCs w:val="28"/>
        </w:rPr>
      </w:pPr>
      <w:r w:rsidRPr="00F868F4">
        <w:rPr>
          <w:sz w:val="28"/>
          <w:szCs w:val="28"/>
        </w:rPr>
        <w:t>Este alto tribunal, retomando</w:t>
      </w:r>
      <w:r w:rsidR="0071622B" w:rsidRPr="00F868F4">
        <w:rPr>
          <w:sz w:val="28"/>
          <w:szCs w:val="28"/>
        </w:rPr>
        <w:t xml:space="preserve"> </w:t>
      </w:r>
      <w:r w:rsidR="004363B9" w:rsidRPr="00F868F4">
        <w:rPr>
          <w:sz w:val="28"/>
          <w:szCs w:val="28"/>
        </w:rPr>
        <w:t>su</w:t>
      </w:r>
      <w:r w:rsidR="0071622B" w:rsidRPr="00F868F4">
        <w:rPr>
          <w:sz w:val="28"/>
          <w:szCs w:val="28"/>
        </w:rPr>
        <w:t xml:space="preserve"> línea jurisprudencial, </w:t>
      </w:r>
      <w:r w:rsidR="004363B9" w:rsidRPr="00F868F4">
        <w:rPr>
          <w:sz w:val="28"/>
          <w:szCs w:val="28"/>
        </w:rPr>
        <w:t>identificó</w:t>
      </w:r>
      <w:r w:rsidR="00DF6A8D" w:rsidRPr="00F868F4">
        <w:rPr>
          <w:sz w:val="28"/>
          <w:szCs w:val="28"/>
        </w:rPr>
        <w:t xml:space="preserve"> los siguientes criterios vinculantes respecto a la interpretación del artículo 116 constitucional:</w:t>
      </w:r>
    </w:p>
    <w:p w14:paraId="6DA2E031" w14:textId="1D2A4D35" w:rsidR="00292604" w:rsidRPr="00F868F4" w:rsidRDefault="00292604" w:rsidP="00A43F34">
      <w:pPr>
        <w:pStyle w:val="Prrafo"/>
        <w:numPr>
          <w:ilvl w:val="0"/>
          <w:numId w:val="14"/>
        </w:numPr>
        <w:spacing w:line="240" w:lineRule="auto"/>
        <w:ind w:left="714" w:hanging="357"/>
        <w:rPr>
          <w:sz w:val="28"/>
          <w:szCs w:val="28"/>
        </w:rPr>
      </w:pPr>
      <w:r w:rsidRPr="00F868F4">
        <w:rPr>
          <w:sz w:val="28"/>
          <w:szCs w:val="28"/>
        </w:rPr>
        <w:t>En el artículo 116, fracción I, constitucional no fue establecido que la duración en el cargo de la gubernatura sea forzosamente de seis años, sino solo que no deberá exceder de ese término.</w:t>
      </w:r>
    </w:p>
    <w:p w14:paraId="2052C22C" w14:textId="77777777" w:rsidR="00292604" w:rsidRPr="00F868F4" w:rsidRDefault="00292604" w:rsidP="00A43F34">
      <w:pPr>
        <w:pStyle w:val="Prrafo"/>
        <w:numPr>
          <w:ilvl w:val="0"/>
          <w:numId w:val="14"/>
        </w:numPr>
        <w:spacing w:line="240" w:lineRule="auto"/>
        <w:ind w:left="714" w:hanging="357"/>
        <w:rPr>
          <w:sz w:val="28"/>
          <w:szCs w:val="28"/>
        </w:rPr>
      </w:pPr>
      <w:r w:rsidRPr="00F868F4">
        <w:rPr>
          <w:sz w:val="28"/>
          <w:szCs w:val="28"/>
        </w:rPr>
        <w:t>Cada estado cuenta con libertad configurativa para determinar la duración del cargo de Gobernador en atención a su propia conveniencia jurídico-política, siempre que respete los parámetros señalados en la Constitución General.</w:t>
      </w:r>
    </w:p>
    <w:p w14:paraId="6A26EEC5" w14:textId="77777777" w:rsidR="005141AC" w:rsidRPr="00F868F4" w:rsidRDefault="00292604" w:rsidP="00A43F34">
      <w:pPr>
        <w:pStyle w:val="Prrafo"/>
        <w:numPr>
          <w:ilvl w:val="0"/>
          <w:numId w:val="14"/>
        </w:numPr>
        <w:spacing w:line="240" w:lineRule="auto"/>
        <w:ind w:left="714" w:hanging="357"/>
        <w:rPr>
          <w:sz w:val="28"/>
          <w:szCs w:val="28"/>
        </w:rPr>
      </w:pPr>
      <w:r w:rsidRPr="00F868F4">
        <w:rPr>
          <w:sz w:val="28"/>
          <w:szCs w:val="28"/>
        </w:rPr>
        <w:t xml:space="preserve">No es inconstitucional en sí mismo que los estados varíen, excepcionalmente y por una sola ocasión, el periodo de duración del ejercicio de los cargos de </w:t>
      </w:r>
      <w:r w:rsidR="005141AC" w:rsidRPr="00F868F4">
        <w:rPr>
          <w:sz w:val="28"/>
          <w:szCs w:val="28"/>
        </w:rPr>
        <w:t>gubernatura</w:t>
      </w:r>
      <w:r w:rsidRPr="00F868F4">
        <w:rPr>
          <w:sz w:val="28"/>
          <w:szCs w:val="28"/>
        </w:rPr>
        <w:t xml:space="preserve">, </w:t>
      </w:r>
      <w:r w:rsidR="005141AC" w:rsidRPr="00F868F4">
        <w:rPr>
          <w:sz w:val="28"/>
          <w:szCs w:val="28"/>
        </w:rPr>
        <w:t>integrantes</w:t>
      </w:r>
      <w:r w:rsidRPr="00F868F4">
        <w:rPr>
          <w:sz w:val="28"/>
          <w:szCs w:val="28"/>
        </w:rPr>
        <w:t xml:space="preserve"> de las legislaturas y ayuntamientos, con la finalidad de igualar sus procesos electorales con los procesos federales.</w:t>
      </w:r>
    </w:p>
    <w:p w14:paraId="53671E15" w14:textId="58EBC376" w:rsidR="005141AC" w:rsidRPr="00F868F4" w:rsidRDefault="00292604" w:rsidP="00A43F34">
      <w:pPr>
        <w:pStyle w:val="Prrafo"/>
        <w:numPr>
          <w:ilvl w:val="0"/>
          <w:numId w:val="14"/>
        </w:numPr>
        <w:spacing w:line="240" w:lineRule="auto"/>
        <w:ind w:left="714" w:hanging="357"/>
        <w:rPr>
          <w:sz w:val="28"/>
          <w:szCs w:val="28"/>
        </w:rPr>
      </w:pPr>
      <w:r w:rsidRPr="00F868F4">
        <w:rPr>
          <w:sz w:val="28"/>
          <w:szCs w:val="28"/>
        </w:rPr>
        <w:t xml:space="preserve">La Suprema Corte de Justicia de la Nación no es competente para examinar si la duración del cargo decidida por el </w:t>
      </w:r>
      <w:r w:rsidR="00555114" w:rsidRPr="00F868F4">
        <w:rPr>
          <w:sz w:val="28"/>
          <w:szCs w:val="28"/>
        </w:rPr>
        <w:t>órgano legislativo</w:t>
      </w:r>
      <w:r w:rsidRPr="00F868F4">
        <w:rPr>
          <w:sz w:val="28"/>
          <w:szCs w:val="28"/>
        </w:rPr>
        <w:t>, en uso de su libertad configurativa, es la más conveniente en relación con situaciones fácticas, como pueden ser los actos propios del Sistema de Planeación o la optimización de los recursos económicos, ni de ello puede derivar su inconstitucionalidad.</w:t>
      </w:r>
    </w:p>
    <w:p w14:paraId="45FB4ADA" w14:textId="1ED7ECE6" w:rsidR="005638CD" w:rsidRPr="00F868F4" w:rsidRDefault="00292604" w:rsidP="00A43F34">
      <w:pPr>
        <w:pStyle w:val="Prrafo"/>
        <w:numPr>
          <w:ilvl w:val="0"/>
          <w:numId w:val="14"/>
        </w:numPr>
        <w:spacing w:line="240" w:lineRule="auto"/>
        <w:ind w:left="714" w:hanging="357"/>
        <w:rPr>
          <w:sz w:val="28"/>
          <w:szCs w:val="28"/>
        </w:rPr>
      </w:pPr>
      <w:r w:rsidRPr="00F868F4">
        <w:rPr>
          <w:sz w:val="28"/>
          <w:szCs w:val="28"/>
        </w:rPr>
        <w:t xml:space="preserve">No obstante, para el caso en que </w:t>
      </w:r>
      <w:r w:rsidR="005141AC" w:rsidRPr="00F868F4">
        <w:rPr>
          <w:sz w:val="28"/>
          <w:szCs w:val="28"/>
        </w:rPr>
        <w:t>las entidades federativas</w:t>
      </w:r>
      <w:r w:rsidRPr="00F868F4">
        <w:rPr>
          <w:sz w:val="28"/>
          <w:szCs w:val="28"/>
        </w:rPr>
        <w:t xml:space="preserve"> decidan extender o acortar los mandatos de </w:t>
      </w:r>
      <w:r w:rsidR="005141AC" w:rsidRPr="00F868F4">
        <w:rPr>
          <w:sz w:val="28"/>
          <w:szCs w:val="28"/>
        </w:rPr>
        <w:t>las gub</w:t>
      </w:r>
      <w:r w:rsidR="00555114" w:rsidRPr="00F868F4">
        <w:rPr>
          <w:sz w:val="28"/>
          <w:szCs w:val="28"/>
        </w:rPr>
        <w:t>ernaturas y demás cargos</w:t>
      </w:r>
      <w:r w:rsidRPr="00F868F4">
        <w:rPr>
          <w:sz w:val="28"/>
          <w:szCs w:val="28"/>
        </w:rPr>
        <w:t>, deben hacerlo como una previsión a futuro, en las próximas elecciones, a fin de que el electorado esté plenamente informado y tenga conocimiento cierto del periodo que va a desempeñar el funcionario que elija, de modo que se respete su voluntad</w:t>
      </w:r>
      <w:r w:rsidR="00555114" w:rsidRPr="00F868F4">
        <w:rPr>
          <w:sz w:val="28"/>
          <w:szCs w:val="28"/>
        </w:rPr>
        <w:t xml:space="preserve">. Por tanto, </w:t>
      </w:r>
      <w:r w:rsidRPr="00F868F4">
        <w:rPr>
          <w:sz w:val="28"/>
          <w:szCs w:val="28"/>
        </w:rPr>
        <w:lastRenderedPageBreak/>
        <w:t>no pueden hacerlo para quienes ocupan esos cargos en el momento de la reforma.</w:t>
      </w:r>
    </w:p>
    <w:p w14:paraId="678B4537" w14:textId="524A5FB2" w:rsidR="00AD3F4C" w:rsidRPr="00F868F4" w:rsidRDefault="008429E5" w:rsidP="00AB2937">
      <w:pPr>
        <w:pStyle w:val="Prrafo"/>
        <w:numPr>
          <w:ilvl w:val="0"/>
          <w:numId w:val="1"/>
        </w:numPr>
        <w:ind w:left="0" w:hanging="567"/>
        <w:rPr>
          <w:sz w:val="28"/>
          <w:szCs w:val="28"/>
        </w:rPr>
      </w:pPr>
      <w:r w:rsidRPr="00F868F4">
        <w:rPr>
          <w:sz w:val="28"/>
          <w:szCs w:val="28"/>
        </w:rPr>
        <w:t xml:space="preserve">Con base en esos lineamientos, determinó la </w:t>
      </w:r>
      <w:r w:rsidRPr="00F868F4">
        <w:rPr>
          <w:b/>
          <w:bCs/>
          <w:sz w:val="28"/>
          <w:szCs w:val="28"/>
        </w:rPr>
        <w:t>inconstitucionalidad</w:t>
      </w:r>
      <w:r w:rsidRPr="00F868F4">
        <w:rPr>
          <w:sz w:val="28"/>
          <w:szCs w:val="28"/>
        </w:rPr>
        <w:t xml:space="preserve"> </w:t>
      </w:r>
      <w:r w:rsidR="00027823" w:rsidRPr="00F868F4">
        <w:rPr>
          <w:sz w:val="28"/>
          <w:szCs w:val="28"/>
        </w:rPr>
        <w:t>de la reforma al</w:t>
      </w:r>
      <w:r w:rsidRPr="00F868F4">
        <w:rPr>
          <w:sz w:val="28"/>
          <w:szCs w:val="28"/>
        </w:rPr>
        <w:t xml:space="preserve"> artículo transitorio, debido a que no se emitió como una previsión a futuro y, por ende, vulneraba las bases </w:t>
      </w:r>
      <w:r w:rsidR="00FA1A45" w:rsidRPr="00F868F4">
        <w:rPr>
          <w:sz w:val="28"/>
          <w:szCs w:val="28"/>
        </w:rPr>
        <w:t xml:space="preserve">fundamentales que limitan la libertad configurativa de las entidades federativas respecto a </w:t>
      </w:r>
      <w:r w:rsidR="00C81537" w:rsidRPr="00F868F4">
        <w:rPr>
          <w:sz w:val="28"/>
          <w:szCs w:val="28"/>
        </w:rPr>
        <w:t>la modificación de la periodicidad de los cargos de elección popular</w:t>
      </w:r>
      <w:r w:rsidR="00EC285D" w:rsidRPr="00F868F4">
        <w:rPr>
          <w:rStyle w:val="Refdenotaalpie"/>
          <w:sz w:val="28"/>
          <w:szCs w:val="28"/>
        </w:rPr>
        <w:footnoteReference w:id="57"/>
      </w:r>
      <w:r w:rsidR="00C81537" w:rsidRPr="00F868F4">
        <w:rPr>
          <w:sz w:val="28"/>
          <w:szCs w:val="28"/>
        </w:rPr>
        <w:t>.</w:t>
      </w:r>
    </w:p>
    <w:p w14:paraId="7C3F5B80" w14:textId="105B516D" w:rsidR="00490784" w:rsidRPr="00F868F4" w:rsidRDefault="00490784">
      <w:pPr>
        <w:pStyle w:val="Prrafo"/>
        <w:numPr>
          <w:ilvl w:val="0"/>
          <w:numId w:val="2"/>
        </w:numPr>
        <w:ind w:left="0" w:hanging="567"/>
        <w:rPr>
          <w:sz w:val="28"/>
          <w:szCs w:val="28"/>
        </w:rPr>
      </w:pPr>
      <w:r w:rsidRPr="00F868F4">
        <w:rPr>
          <w:sz w:val="28"/>
          <w:szCs w:val="28"/>
        </w:rPr>
        <w:t xml:space="preserve">Por último, como se ha señalado, en la </w:t>
      </w:r>
      <w:r w:rsidRPr="00F868F4">
        <w:rPr>
          <w:b/>
          <w:bCs/>
          <w:sz w:val="28"/>
          <w:szCs w:val="28"/>
        </w:rPr>
        <w:t>acción de inconstitucionalidad 77/2023 y sus acumuladas 82/2023, 87/2023 y 95/2023</w:t>
      </w:r>
      <w:r w:rsidRPr="00F868F4">
        <w:rPr>
          <w:rStyle w:val="Refdenotaalpie"/>
          <w:sz w:val="28"/>
          <w:szCs w:val="28"/>
        </w:rPr>
        <w:footnoteReference w:id="58"/>
      </w:r>
      <w:r w:rsidRPr="00F868F4">
        <w:rPr>
          <w:sz w:val="28"/>
          <w:szCs w:val="28"/>
        </w:rPr>
        <w:t xml:space="preserve"> este Tribunal Pleno evaluó la validez de una </w:t>
      </w:r>
      <w:r w:rsidR="007F4A7F" w:rsidRPr="00F868F4">
        <w:rPr>
          <w:sz w:val="28"/>
          <w:szCs w:val="28"/>
        </w:rPr>
        <w:t xml:space="preserve">normativa análoga </w:t>
      </w:r>
      <w:r w:rsidR="00AF33EC" w:rsidRPr="00F868F4">
        <w:rPr>
          <w:sz w:val="28"/>
          <w:szCs w:val="28"/>
        </w:rPr>
        <w:t>a la del asunto bajo estudio</w:t>
      </w:r>
      <w:r w:rsidR="009153CE" w:rsidRPr="00F868F4">
        <w:rPr>
          <w:sz w:val="28"/>
          <w:szCs w:val="28"/>
        </w:rPr>
        <w:t>, pues la Constitución de Sonora se modificó para contemplar la concurrencia de la elección de la Gubernatura con</w:t>
      </w:r>
      <w:r w:rsidR="00860ED4" w:rsidRPr="00F868F4">
        <w:rPr>
          <w:sz w:val="28"/>
          <w:szCs w:val="28"/>
        </w:rPr>
        <w:t xml:space="preserve"> la de la Presidencia de la República, para lo cual se dispuso que</w:t>
      </w:r>
      <w:r w:rsidR="00DD037F" w:rsidRPr="00F868F4">
        <w:rPr>
          <w:sz w:val="28"/>
          <w:szCs w:val="28"/>
        </w:rPr>
        <w:t>, por única ocasión,</w:t>
      </w:r>
      <w:r w:rsidR="00860ED4" w:rsidRPr="00F868F4">
        <w:rPr>
          <w:sz w:val="28"/>
          <w:szCs w:val="28"/>
        </w:rPr>
        <w:t xml:space="preserve"> la persona electa en el dos mil veintisiete </w:t>
      </w:r>
      <w:r w:rsidR="003140F8" w:rsidRPr="00F868F4">
        <w:rPr>
          <w:sz w:val="28"/>
          <w:szCs w:val="28"/>
        </w:rPr>
        <w:t>tendrá</w:t>
      </w:r>
      <w:r w:rsidR="00273644" w:rsidRPr="00F868F4">
        <w:rPr>
          <w:sz w:val="28"/>
          <w:szCs w:val="28"/>
        </w:rPr>
        <w:t xml:space="preserve"> un mandato de tres años</w:t>
      </w:r>
      <w:r w:rsidRPr="00F868F4">
        <w:rPr>
          <w:rStyle w:val="Refdenotaalpie"/>
          <w:sz w:val="28"/>
          <w:szCs w:val="28"/>
        </w:rPr>
        <w:footnoteReference w:id="59"/>
      </w:r>
      <w:r w:rsidRPr="00F868F4">
        <w:rPr>
          <w:sz w:val="28"/>
          <w:szCs w:val="28"/>
        </w:rPr>
        <w:t>.</w:t>
      </w:r>
    </w:p>
    <w:p w14:paraId="5FF081AB" w14:textId="1E6BCDC6" w:rsidR="006B72EB" w:rsidRPr="00F868F4" w:rsidRDefault="00111BD4" w:rsidP="00A759F6">
      <w:pPr>
        <w:pStyle w:val="Prrafo"/>
        <w:numPr>
          <w:ilvl w:val="0"/>
          <w:numId w:val="1"/>
        </w:numPr>
        <w:ind w:left="0" w:hanging="567"/>
        <w:rPr>
          <w:sz w:val="28"/>
          <w:szCs w:val="28"/>
        </w:rPr>
      </w:pPr>
      <w:r w:rsidRPr="00F868F4">
        <w:rPr>
          <w:sz w:val="28"/>
          <w:szCs w:val="28"/>
        </w:rPr>
        <w:t xml:space="preserve">Se determinó que los estados tienen una amplia libertad de configuración normativa </w:t>
      </w:r>
      <w:r w:rsidR="00136F55" w:rsidRPr="00F868F4">
        <w:rPr>
          <w:sz w:val="28"/>
          <w:szCs w:val="28"/>
        </w:rPr>
        <w:t xml:space="preserve">respecto al diseño de la concurrencia de los comicios locales </w:t>
      </w:r>
      <w:r w:rsidR="00136F55" w:rsidRPr="00F868F4">
        <w:rPr>
          <w:sz w:val="28"/>
          <w:szCs w:val="28"/>
        </w:rPr>
        <w:lastRenderedPageBreak/>
        <w:t xml:space="preserve">con los federales. </w:t>
      </w:r>
      <w:r w:rsidR="00053471" w:rsidRPr="00F868F4">
        <w:rPr>
          <w:sz w:val="28"/>
          <w:szCs w:val="28"/>
        </w:rPr>
        <w:t xml:space="preserve">Si bien para cumplir con el mandato </w:t>
      </w:r>
      <w:r w:rsidR="00637684" w:rsidRPr="00F868F4">
        <w:rPr>
          <w:sz w:val="28"/>
          <w:szCs w:val="28"/>
        </w:rPr>
        <w:t xml:space="preserve">constitucional únicamente deben empatar uno de sus procesos electivos estatales con uno federal, </w:t>
      </w:r>
      <w:r w:rsidR="00A75B01" w:rsidRPr="00F868F4">
        <w:rPr>
          <w:sz w:val="28"/>
          <w:szCs w:val="28"/>
        </w:rPr>
        <w:t>ello no le impide modificar ese arreglo posteriormente</w:t>
      </w:r>
      <w:r w:rsidR="006F723C" w:rsidRPr="00F868F4">
        <w:rPr>
          <w:sz w:val="28"/>
          <w:szCs w:val="28"/>
        </w:rPr>
        <w:t>;</w:t>
      </w:r>
      <w:r w:rsidR="00FA7492" w:rsidRPr="00F868F4">
        <w:rPr>
          <w:sz w:val="28"/>
          <w:szCs w:val="28"/>
        </w:rPr>
        <w:t xml:space="preserve"> por ejemplo, para concretar la coincidencia entre la elección de la Gubernatura con la Presidencial.</w:t>
      </w:r>
      <w:r w:rsidR="005C47A4" w:rsidRPr="00F868F4">
        <w:rPr>
          <w:sz w:val="28"/>
          <w:szCs w:val="28"/>
        </w:rPr>
        <w:t xml:space="preserve"> </w:t>
      </w:r>
    </w:p>
    <w:p w14:paraId="0C16DF23" w14:textId="1127FF4C" w:rsidR="005F36FC" w:rsidRPr="00F868F4" w:rsidRDefault="00BA74A3" w:rsidP="005F36FC">
      <w:pPr>
        <w:pStyle w:val="Prrafo"/>
        <w:numPr>
          <w:ilvl w:val="0"/>
          <w:numId w:val="1"/>
        </w:numPr>
        <w:ind w:left="0" w:hanging="567"/>
        <w:rPr>
          <w:sz w:val="28"/>
          <w:szCs w:val="28"/>
        </w:rPr>
      </w:pPr>
      <w:r w:rsidRPr="00F868F4">
        <w:rPr>
          <w:sz w:val="28"/>
          <w:szCs w:val="28"/>
        </w:rPr>
        <w:t>Asimismo, se determinó que la duración excepcional del cargo de la Gubernatura conforme a la disposición transitoria no excedía el límite constitucional de seis años</w:t>
      </w:r>
      <w:r w:rsidR="00887C5E" w:rsidRPr="00F868F4">
        <w:rPr>
          <w:sz w:val="28"/>
          <w:szCs w:val="28"/>
        </w:rPr>
        <w:t xml:space="preserve">, </w:t>
      </w:r>
      <w:r w:rsidR="0030714F" w:rsidRPr="00F868F4">
        <w:rPr>
          <w:sz w:val="28"/>
          <w:szCs w:val="28"/>
        </w:rPr>
        <w:t>sumado</w:t>
      </w:r>
      <w:r w:rsidR="00887C5E" w:rsidRPr="00F868F4">
        <w:rPr>
          <w:sz w:val="28"/>
          <w:szCs w:val="28"/>
        </w:rPr>
        <w:t xml:space="preserve"> a que la norma cumplía con el requisito de </w:t>
      </w:r>
      <w:r w:rsidR="006C01BA" w:rsidRPr="00F868F4">
        <w:rPr>
          <w:sz w:val="28"/>
          <w:szCs w:val="28"/>
        </w:rPr>
        <w:t>estar</w:t>
      </w:r>
      <w:r w:rsidR="009046AA" w:rsidRPr="00F868F4">
        <w:rPr>
          <w:sz w:val="28"/>
          <w:szCs w:val="28"/>
        </w:rPr>
        <w:t xml:space="preserve"> configurad</w:t>
      </w:r>
      <w:r w:rsidR="00223518" w:rsidRPr="00F868F4">
        <w:rPr>
          <w:sz w:val="28"/>
          <w:szCs w:val="28"/>
        </w:rPr>
        <w:t>a</w:t>
      </w:r>
      <w:r w:rsidR="00887C5E" w:rsidRPr="00F868F4">
        <w:rPr>
          <w:sz w:val="28"/>
          <w:szCs w:val="28"/>
        </w:rPr>
        <w:t xml:space="preserve"> como una previsión a futur</w:t>
      </w:r>
      <w:r w:rsidR="009046AA" w:rsidRPr="00F868F4">
        <w:rPr>
          <w:sz w:val="28"/>
          <w:szCs w:val="28"/>
        </w:rPr>
        <w:t>o. Por estos razonamientos</w:t>
      </w:r>
      <w:r w:rsidR="00BA79D4" w:rsidRPr="00F868F4">
        <w:rPr>
          <w:sz w:val="28"/>
          <w:szCs w:val="28"/>
        </w:rPr>
        <w:t>,</w:t>
      </w:r>
      <w:r w:rsidR="009046AA" w:rsidRPr="00F868F4">
        <w:rPr>
          <w:sz w:val="28"/>
          <w:szCs w:val="28"/>
        </w:rPr>
        <w:t xml:space="preserve"> se declaró la </w:t>
      </w:r>
      <w:r w:rsidR="009046AA" w:rsidRPr="00F868F4">
        <w:rPr>
          <w:b/>
          <w:bCs/>
          <w:sz w:val="28"/>
          <w:szCs w:val="28"/>
        </w:rPr>
        <w:t>constitucionalidad</w:t>
      </w:r>
      <w:r w:rsidR="009046AA" w:rsidRPr="00F868F4">
        <w:rPr>
          <w:sz w:val="28"/>
          <w:szCs w:val="28"/>
        </w:rPr>
        <w:t xml:space="preserve"> de las normas impugnadas.</w:t>
      </w:r>
    </w:p>
    <w:p w14:paraId="59DC4DCC" w14:textId="74574560" w:rsidR="00B91BCC" w:rsidRPr="0000197A" w:rsidRDefault="00B91BCC" w:rsidP="00B91BCC">
      <w:pPr>
        <w:pStyle w:val="Prrafo"/>
        <w:jc w:val="center"/>
        <w:rPr>
          <w:b/>
          <w:bCs/>
          <w:sz w:val="28"/>
          <w:szCs w:val="28"/>
        </w:rPr>
      </w:pPr>
      <w:r w:rsidRPr="0000197A">
        <w:rPr>
          <w:b/>
          <w:sz w:val="28"/>
          <w:szCs w:val="28"/>
          <w:lang w:eastAsia="es-ES"/>
        </w:rPr>
        <w:t>B)</w:t>
      </w:r>
      <w:r w:rsidRPr="0000197A">
        <w:rPr>
          <w:b/>
          <w:i/>
          <w:iCs/>
          <w:sz w:val="28"/>
          <w:szCs w:val="28"/>
          <w:lang w:eastAsia="es-ES"/>
        </w:rPr>
        <w:t xml:space="preserve"> </w:t>
      </w:r>
      <w:r w:rsidRPr="0000197A">
        <w:rPr>
          <w:b/>
          <w:sz w:val="28"/>
          <w:szCs w:val="28"/>
          <w:lang w:eastAsia="es-ES"/>
        </w:rPr>
        <w:t>Análisis de constitucionalidad del decreto impugnado</w:t>
      </w:r>
    </w:p>
    <w:p w14:paraId="20D4ABDE" w14:textId="1F767CDB" w:rsidR="005F36FC" w:rsidRPr="00F868F4" w:rsidRDefault="00A66972" w:rsidP="004122E7">
      <w:pPr>
        <w:pStyle w:val="Prrafo"/>
        <w:numPr>
          <w:ilvl w:val="0"/>
          <w:numId w:val="1"/>
        </w:numPr>
        <w:ind w:left="0" w:hanging="567"/>
        <w:rPr>
          <w:sz w:val="28"/>
          <w:szCs w:val="28"/>
        </w:rPr>
      </w:pPr>
      <w:r w:rsidRPr="00F868F4">
        <w:rPr>
          <w:sz w:val="28"/>
          <w:szCs w:val="28"/>
        </w:rPr>
        <w:t xml:space="preserve">El partido promovente </w:t>
      </w:r>
      <w:r w:rsidR="00107042" w:rsidRPr="00F868F4">
        <w:rPr>
          <w:sz w:val="28"/>
          <w:szCs w:val="28"/>
        </w:rPr>
        <w:t xml:space="preserve">plantea </w:t>
      </w:r>
      <w:r w:rsidR="00676444" w:rsidRPr="00F868F4">
        <w:rPr>
          <w:sz w:val="28"/>
          <w:szCs w:val="28"/>
        </w:rPr>
        <w:t>que</w:t>
      </w:r>
      <w:r w:rsidR="00E41629" w:rsidRPr="00F868F4">
        <w:rPr>
          <w:sz w:val="28"/>
          <w:szCs w:val="28"/>
        </w:rPr>
        <w:t xml:space="preserve"> el decreto impugnado</w:t>
      </w:r>
      <w:r w:rsidR="008C33F2" w:rsidRPr="00F868F4">
        <w:rPr>
          <w:sz w:val="28"/>
          <w:szCs w:val="28"/>
        </w:rPr>
        <w:t xml:space="preserve">, al establecer </w:t>
      </w:r>
      <w:r w:rsidR="009D49D1" w:rsidRPr="00F868F4">
        <w:rPr>
          <w:sz w:val="28"/>
          <w:szCs w:val="28"/>
        </w:rPr>
        <w:t xml:space="preserve">que la Gubernatura electa en el año dos mil veintiocho </w:t>
      </w:r>
      <w:r w:rsidR="00D02809" w:rsidRPr="00F868F4">
        <w:rPr>
          <w:sz w:val="28"/>
          <w:szCs w:val="28"/>
        </w:rPr>
        <w:t>será por un periodo</w:t>
      </w:r>
      <w:r w:rsidR="00BA32E0" w:rsidRPr="00F868F4">
        <w:rPr>
          <w:sz w:val="28"/>
          <w:szCs w:val="28"/>
        </w:rPr>
        <w:t xml:space="preserve"> dos años</w:t>
      </w:r>
      <w:r w:rsidR="009837B5" w:rsidRPr="00F868F4">
        <w:rPr>
          <w:sz w:val="28"/>
          <w:szCs w:val="28"/>
        </w:rPr>
        <w:t>,</w:t>
      </w:r>
      <w:r w:rsidR="00BA32E0" w:rsidRPr="00F868F4">
        <w:rPr>
          <w:sz w:val="28"/>
          <w:szCs w:val="28"/>
        </w:rPr>
        <w:t xml:space="preserve"> con la finalidad de </w:t>
      </w:r>
      <w:r w:rsidR="009837B5" w:rsidRPr="00F868F4">
        <w:rPr>
          <w:sz w:val="28"/>
          <w:szCs w:val="28"/>
        </w:rPr>
        <w:t xml:space="preserve">lograr </w:t>
      </w:r>
      <w:r w:rsidR="00174E75" w:rsidRPr="00F868F4">
        <w:rPr>
          <w:sz w:val="28"/>
          <w:szCs w:val="28"/>
        </w:rPr>
        <w:t>la</w:t>
      </w:r>
      <w:r w:rsidR="009837B5" w:rsidRPr="00F868F4">
        <w:rPr>
          <w:sz w:val="28"/>
          <w:szCs w:val="28"/>
        </w:rPr>
        <w:t xml:space="preserve"> concurrencia</w:t>
      </w:r>
      <w:r w:rsidR="00174E75" w:rsidRPr="00F868F4">
        <w:rPr>
          <w:sz w:val="28"/>
          <w:szCs w:val="28"/>
        </w:rPr>
        <w:t xml:space="preserve"> de su renovación</w:t>
      </w:r>
      <w:r w:rsidR="009837B5" w:rsidRPr="00F868F4">
        <w:rPr>
          <w:sz w:val="28"/>
          <w:szCs w:val="28"/>
        </w:rPr>
        <w:t xml:space="preserve"> con los comicios federales</w:t>
      </w:r>
      <w:r w:rsidR="00BA32E0" w:rsidRPr="00F868F4">
        <w:rPr>
          <w:sz w:val="28"/>
          <w:szCs w:val="28"/>
        </w:rPr>
        <w:t xml:space="preserve">, </w:t>
      </w:r>
      <w:r w:rsidR="009837B5" w:rsidRPr="00F868F4">
        <w:rPr>
          <w:sz w:val="28"/>
          <w:szCs w:val="28"/>
        </w:rPr>
        <w:t xml:space="preserve">contraviene </w:t>
      </w:r>
      <w:r w:rsidR="00C35A9E" w:rsidRPr="00F868F4">
        <w:rPr>
          <w:sz w:val="28"/>
          <w:szCs w:val="28"/>
        </w:rPr>
        <w:t xml:space="preserve">el mandato </w:t>
      </w:r>
      <w:r w:rsidR="00566330" w:rsidRPr="00F868F4">
        <w:rPr>
          <w:sz w:val="28"/>
          <w:szCs w:val="28"/>
        </w:rPr>
        <w:t>de que</w:t>
      </w:r>
      <w:r w:rsidR="00F363A9" w:rsidRPr="00F868F4">
        <w:rPr>
          <w:sz w:val="28"/>
          <w:szCs w:val="28"/>
        </w:rPr>
        <w:t xml:space="preserve"> la Gubernatura del estado de Oaxaca </w:t>
      </w:r>
      <w:r w:rsidR="00234E28" w:rsidRPr="00F868F4">
        <w:rPr>
          <w:sz w:val="28"/>
          <w:szCs w:val="28"/>
        </w:rPr>
        <w:t>tenga una duración</w:t>
      </w:r>
      <w:r w:rsidR="004122E7" w:rsidRPr="00F868F4">
        <w:rPr>
          <w:sz w:val="28"/>
          <w:szCs w:val="28"/>
        </w:rPr>
        <w:t xml:space="preserve"> de seis años, según </w:t>
      </w:r>
      <w:r w:rsidR="00051D45" w:rsidRPr="00F868F4">
        <w:rPr>
          <w:sz w:val="28"/>
          <w:szCs w:val="28"/>
        </w:rPr>
        <w:t xml:space="preserve">se desprende de los artículos 116 de la Constitución Política del país y 69 de la Constitución local. </w:t>
      </w:r>
    </w:p>
    <w:p w14:paraId="1C40BF18" w14:textId="6023FDC1" w:rsidR="00C9453C" w:rsidRPr="00F868F4" w:rsidRDefault="006A57FD">
      <w:pPr>
        <w:pStyle w:val="Prrafo"/>
        <w:numPr>
          <w:ilvl w:val="0"/>
          <w:numId w:val="1"/>
        </w:numPr>
        <w:ind w:left="0" w:hanging="567"/>
        <w:rPr>
          <w:sz w:val="28"/>
          <w:szCs w:val="28"/>
        </w:rPr>
      </w:pPr>
      <w:r w:rsidRPr="00F868F4">
        <w:rPr>
          <w:sz w:val="28"/>
          <w:szCs w:val="28"/>
        </w:rPr>
        <w:t>En primer lugar</w:t>
      </w:r>
      <w:r w:rsidR="0072501A" w:rsidRPr="00F868F4">
        <w:rPr>
          <w:sz w:val="28"/>
          <w:szCs w:val="28"/>
        </w:rPr>
        <w:t xml:space="preserve">, se </w:t>
      </w:r>
      <w:r w:rsidR="005D6131" w:rsidRPr="00F868F4">
        <w:rPr>
          <w:sz w:val="28"/>
          <w:szCs w:val="28"/>
        </w:rPr>
        <w:t>considera</w:t>
      </w:r>
      <w:r w:rsidR="0072501A" w:rsidRPr="00F868F4">
        <w:rPr>
          <w:sz w:val="28"/>
          <w:szCs w:val="28"/>
        </w:rPr>
        <w:t xml:space="preserve"> que</w:t>
      </w:r>
      <w:r w:rsidR="00680380" w:rsidRPr="00F868F4">
        <w:rPr>
          <w:sz w:val="28"/>
          <w:szCs w:val="28"/>
        </w:rPr>
        <w:t xml:space="preserve"> el reclamo parte de una premisa normativa incorrecta</w:t>
      </w:r>
      <w:r w:rsidR="00AF23B1" w:rsidRPr="00F868F4">
        <w:rPr>
          <w:sz w:val="28"/>
          <w:szCs w:val="28"/>
        </w:rPr>
        <w:t xml:space="preserve">, pues </w:t>
      </w:r>
      <w:r w:rsidR="004363A2" w:rsidRPr="00F868F4">
        <w:rPr>
          <w:sz w:val="28"/>
          <w:szCs w:val="28"/>
        </w:rPr>
        <w:t>este</w:t>
      </w:r>
      <w:r w:rsidR="00AF23B1" w:rsidRPr="00F868F4">
        <w:rPr>
          <w:sz w:val="28"/>
          <w:szCs w:val="28"/>
        </w:rPr>
        <w:t xml:space="preserve"> alto tribunal ha </w:t>
      </w:r>
      <w:r w:rsidR="005D6131" w:rsidRPr="00F868F4">
        <w:rPr>
          <w:sz w:val="28"/>
          <w:szCs w:val="28"/>
        </w:rPr>
        <w:t>determinado</w:t>
      </w:r>
      <w:r w:rsidR="00AF23B1" w:rsidRPr="00F868F4">
        <w:rPr>
          <w:sz w:val="28"/>
          <w:szCs w:val="28"/>
        </w:rPr>
        <w:t xml:space="preserve"> consistentemente que</w:t>
      </w:r>
      <w:r w:rsidR="0072501A" w:rsidRPr="00F868F4">
        <w:rPr>
          <w:sz w:val="28"/>
          <w:szCs w:val="28"/>
        </w:rPr>
        <w:t xml:space="preserve"> de la fracción I del artículo 116 constitucional no se </w:t>
      </w:r>
      <w:r w:rsidR="00AF23B1" w:rsidRPr="00F868F4">
        <w:rPr>
          <w:sz w:val="28"/>
          <w:szCs w:val="28"/>
        </w:rPr>
        <w:t>sigue</w:t>
      </w:r>
      <w:r w:rsidR="0072501A" w:rsidRPr="00F868F4">
        <w:rPr>
          <w:sz w:val="28"/>
          <w:szCs w:val="28"/>
        </w:rPr>
        <w:t xml:space="preserve"> una exigencia de que </w:t>
      </w:r>
      <w:r w:rsidR="00AF23B1" w:rsidRPr="00F868F4">
        <w:rPr>
          <w:sz w:val="28"/>
          <w:szCs w:val="28"/>
        </w:rPr>
        <w:t xml:space="preserve">los periodos de las gubernaturas de las entidades federativas </w:t>
      </w:r>
      <w:r w:rsidR="00916283" w:rsidRPr="00F868F4">
        <w:rPr>
          <w:sz w:val="28"/>
          <w:szCs w:val="28"/>
        </w:rPr>
        <w:t>sean</w:t>
      </w:r>
      <w:r w:rsidR="00AF23B1" w:rsidRPr="00F868F4">
        <w:rPr>
          <w:sz w:val="28"/>
          <w:szCs w:val="28"/>
        </w:rPr>
        <w:t xml:space="preserve"> </w:t>
      </w:r>
      <w:r w:rsidR="00814BD1" w:rsidRPr="00F868F4">
        <w:rPr>
          <w:sz w:val="28"/>
          <w:szCs w:val="28"/>
        </w:rPr>
        <w:t>por</w:t>
      </w:r>
      <w:r w:rsidR="00AF23B1" w:rsidRPr="00F868F4">
        <w:rPr>
          <w:sz w:val="28"/>
          <w:szCs w:val="28"/>
        </w:rPr>
        <w:t xml:space="preserve"> seis años</w:t>
      </w:r>
      <w:r w:rsidR="00BF1EC9" w:rsidRPr="00F868F4">
        <w:rPr>
          <w:sz w:val="28"/>
          <w:szCs w:val="28"/>
        </w:rPr>
        <w:t>. Lo que se impone es un límite</w:t>
      </w:r>
      <w:r w:rsidR="002315AC" w:rsidRPr="00F868F4">
        <w:rPr>
          <w:sz w:val="28"/>
          <w:szCs w:val="28"/>
        </w:rPr>
        <w:t xml:space="preserve"> superior</w:t>
      </w:r>
      <w:r w:rsidR="008C3A2A" w:rsidRPr="00F868F4">
        <w:rPr>
          <w:sz w:val="28"/>
          <w:szCs w:val="28"/>
        </w:rPr>
        <w:t>, por lo que cada estado puede determinar la duración del encargo de la Gubernatura</w:t>
      </w:r>
      <w:r w:rsidR="00C9453C" w:rsidRPr="00F868F4">
        <w:rPr>
          <w:sz w:val="28"/>
          <w:szCs w:val="28"/>
        </w:rPr>
        <w:t xml:space="preserve"> conforme a sus condiciones políticas, económicas, sociales y de otro tipo</w:t>
      </w:r>
      <w:r w:rsidR="00AF0C2F" w:rsidRPr="00F868F4">
        <w:rPr>
          <w:sz w:val="28"/>
          <w:szCs w:val="28"/>
        </w:rPr>
        <w:t xml:space="preserve">, </w:t>
      </w:r>
      <w:r w:rsidR="004363A2" w:rsidRPr="00F868F4">
        <w:rPr>
          <w:sz w:val="28"/>
          <w:szCs w:val="28"/>
        </w:rPr>
        <w:t>siempre</w:t>
      </w:r>
      <w:r w:rsidR="00AF0C2F" w:rsidRPr="00F868F4">
        <w:rPr>
          <w:sz w:val="28"/>
          <w:szCs w:val="28"/>
        </w:rPr>
        <w:t xml:space="preserve"> que se ajuste a dicho parámetro.</w:t>
      </w:r>
    </w:p>
    <w:p w14:paraId="5D2DDCDE" w14:textId="6DB5D7C6" w:rsidR="00790A1A" w:rsidRPr="00F868F4" w:rsidRDefault="006A57FD">
      <w:pPr>
        <w:pStyle w:val="Prrafo"/>
        <w:numPr>
          <w:ilvl w:val="0"/>
          <w:numId w:val="1"/>
        </w:numPr>
        <w:ind w:left="0" w:hanging="567"/>
        <w:rPr>
          <w:sz w:val="28"/>
          <w:szCs w:val="28"/>
        </w:rPr>
      </w:pPr>
      <w:r w:rsidRPr="00F868F4">
        <w:rPr>
          <w:sz w:val="28"/>
          <w:szCs w:val="28"/>
        </w:rPr>
        <w:lastRenderedPageBreak/>
        <w:t xml:space="preserve">Por otra parte, </w:t>
      </w:r>
      <w:r w:rsidR="00E41611" w:rsidRPr="00F868F4">
        <w:rPr>
          <w:sz w:val="28"/>
          <w:szCs w:val="28"/>
        </w:rPr>
        <w:t>el</w:t>
      </w:r>
      <w:r w:rsidRPr="00F868F4">
        <w:rPr>
          <w:sz w:val="28"/>
          <w:szCs w:val="28"/>
        </w:rPr>
        <w:t xml:space="preserve"> Poder Legislativo de Oaxaca</w:t>
      </w:r>
      <w:r w:rsidR="00E41611" w:rsidRPr="00F868F4">
        <w:rPr>
          <w:sz w:val="28"/>
          <w:szCs w:val="28"/>
        </w:rPr>
        <w:t xml:space="preserve"> </w:t>
      </w:r>
      <w:r w:rsidR="00F01BB4" w:rsidRPr="00F868F4">
        <w:rPr>
          <w:sz w:val="28"/>
          <w:szCs w:val="28"/>
        </w:rPr>
        <w:t>argumentó</w:t>
      </w:r>
      <w:r w:rsidR="009770E2" w:rsidRPr="00F868F4">
        <w:rPr>
          <w:sz w:val="28"/>
          <w:szCs w:val="28"/>
        </w:rPr>
        <w:t xml:space="preserve"> en su informe</w:t>
      </w:r>
      <w:r w:rsidR="00E41611" w:rsidRPr="00F868F4">
        <w:rPr>
          <w:sz w:val="28"/>
          <w:szCs w:val="28"/>
        </w:rPr>
        <w:t xml:space="preserve"> que la reforma tuvo por objetivo acatar</w:t>
      </w:r>
      <w:r w:rsidR="003B1636" w:rsidRPr="00F868F4">
        <w:rPr>
          <w:sz w:val="28"/>
          <w:szCs w:val="28"/>
        </w:rPr>
        <w:t xml:space="preserve">, </w:t>
      </w:r>
      <w:r w:rsidR="003B1636" w:rsidRPr="00F868F4">
        <w:rPr>
          <w:b/>
          <w:bCs/>
          <w:sz w:val="28"/>
          <w:szCs w:val="28"/>
        </w:rPr>
        <w:t>en su totalidad</w:t>
      </w:r>
      <w:r w:rsidR="003B1636" w:rsidRPr="00F868F4">
        <w:rPr>
          <w:sz w:val="28"/>
          <w:szCs w:val="28"/>
        </w:rPr>
        <w:t xml:space="preserve">, la obligación derivada del inciso n) de la fracción IV del artículo 116 de la Constitución, </w:t>
      </w:r>
      <w:r w:rsidR="00875B1F" w:rsidRPr="00F868F4">
        <w:rPr>
          <w:sz w:val="28"/>
          <w:szCs w:val="28"/>
        </w:rPr>
        <w:t xml:space="preserve">en cuanto a la </w:t>
      </w:r>
      <w:r w:rsidR="00395B96" w:rsidRPr="00F868F4">
        <w:rPr>
          <w:sz w:val="28"/>
          <w:szCs w:val="28"/>
        </w:rPr>
        <w:t>convergencia de las elecciones locales con las federales.</w:t>
      </w:r>
      <w:r w:rsidR="005321A8" w:rsidRPr="00F868F4">
        <w:rPr>
          <w:sz w:val="28"/>
          <w:szCs w:val="28"/>
        </w:rPr>
        <w:t xml:space="preserve"> </w:t>
      </w:r>
      <w:r w:rsidR="00AD5B8A" w:rsidRPr="00F868F4">
        <w:rPr>
          <w:sz w:val="28"/>
          <w:szCs w:val="28"/>
        </w:rPr>
        <w:t>Al respecto, esta alto tribunal ha considerado que d</w:t>
      </w:r>
      <w:r w:rsidR="00B3192A" w:rsidRPr="00F868F4">
        <w:rPr>
          <w:sz w:val="28"/>
          <w:szCs w:val="28"/>
        </w:rPr>
        <w:t>icho precepto</w:t>
      </w:r>
      <w:r w:rsidR="008E1A98" w:rsidRPr="00F868F4">
        <w:rPr>
          <w:sz w:val="28"/>
          <w:szCs w:val="28"/>
        </w:rPr>
        <w:t xml:space="preserve"> solo</w:t>
      </w:r>
      <w:r w:rsidR="00B3192A" w:rsidRPr="00F868F4">
        <w:rPr>
          <w:sz w:val="28"/>
          <w:szCs w:val="28"/>
        </w:rPr>
        <w:t xml:space="preserve"> mandata que</w:t>
      </w:r>
      <w:r w:rsidR="00163D5F" w:rsidRPr="00F868F4">
        <w:rPr>
          <w:sz w:val="28"/>
          <w:szCs w:val="28"/>
        </w:rPr>
        <w:t xml:space="preserve"> al menos una de las elecciones locales sea concurrente con alguna de las elecciones federales</w:t>
      </w:r>
      <w:r w:rsidR="00186633" w:rsidRPr="00F868F4">
        <w:rPr>
          <w:sz w:val="28"/>
          <w:szCs w:val="28"/>
        </w:rPr>
        <w:t xml:space="preserve">, </w:t>
      </w:r>
      <w:r w:rsidR="008410A3" w:rsidRPr="00F868F4">
        <w:rPr>
          <w:sz w:val="28"/>
          <w:szCs w:val="28"/>
        </w:rPr>
        <w:t xml:space="preserve">de modo </w:t>
      </w:r>
      <w:r w:rsidR="00186633" w:rsidRPr="00F868F4">
        <w:rPr>
          <w:sz w:val="28"/>
          <w:szCs w:val="28"/>
        </w:rPr>
        <w:t xml:space="preserve">que </w:t>
      </w:r>
      <w:r w:rsidR="00670903" w:rsidRPr="00F868F4">
        <w:rPr>
          <w:sz w:val="28"/>
          <w:szCs w:val="28"/>
        </w:rPr>
        <w:t>las entidades federativas no tienen la obligación de</w:t>
      </w:r>
      <w:r w:rsidR="00790A1A" w:rsidRPr="00F868F4">
        <w:rPr>
          <w:sz w:val="28"/>
          <w:szCs w:val="28"/>
        </w:rPr>
        <w:t xml:space="preserve"> homologar la celebración de </w:t>
      </w:r>
      <w:r w:rsidR="0008499A" w:rsidRPr="00F868F4">
        <w:rPr>
          <w:sz w:val="28"/>
          <w:szCs w:val="28"/>
        </w:rPr>
        <w:t>todos</w:t>
      </w:r>
      <w:r w:rsidR="00790A1A" w:rsidRPr="00F868F4">
        <w:rPr>
          <w:sz w:val="28"/>
          <w:szCs w:val="28"/>
        </w:rPr>
        <w:t xml:space="preserve"> sus procesos electivos con </w:t>
      </w:r>
      <w:r w:rsidR="00AF0DBD" w:rsidRPr="00F868F4">
        <w:rPr>
          <w:sz w:val="28"/>
          <w:szCs w:val="28"/>
        </w:rPr>
        <w:t>los del ámbito federal.</w:t>
      </w:r>
    </w:p>
    <w:p w14:paraId="5B95D9B3" w14:textId="7FF57669" w:rsidR="00AF0DBD" w:rsidRPr="00F868F4" w:rsidRDefault="008C3576">
      <w:pPr>
        <w:pStyle w:val="Prrafo"/>
        <w:numPr>
          <w:ilvl w:val="0"/>
          <w:numId w:val="1"/>
        </w:numPr>
        <w:ind w:left="0" w:hanging="567"/>
        <w:rPr>
          <w:sz w:val="28"/>
          <w:szCs w:val="28"/>
        </w:rPr>
      </w:pPr>
      <w:r w:rsidRPr="00F868F4">
        <w:rPr>
          <w:sz w:val="28"/>
          <w:szCs w:val="28"/>
        </w:rPr>
        <w:t>Entonces, el</w:t>
      </w:r>
      <w:r w:rsidR="00AF0DBD" w:rsidRPr="00F868F4">
        <w:rPr>
          <w:sz w:val="28"/>
          <w:szCs w:val="28"/>
        </w:rPr>
        <w:t xml:space="preserve"> estado de Oaxaca</w:t>
      </w:r>
      <w:r w:rsidR="00E16F49" w:rsidRPr="00F868F4">
        <w:rPr>
          <w:sz w:val="28"/>
          <w:szCs w:val="28"/>
        </w:rPr>
        <w:t xml:space="preserve"> ya había dado cumplimiento al parámetro constitucional a través de </w:t>
      </w:r>
      <w:r w:rsidR="00FE4542" w:rsidRPr="00F868F4">
        <w:rPr>
          <w:sz w:val="28"/>
          <w:szCs w:val="28"/>
        </w:rPr>
        <w:t>la</w:t>
      </w:r>
      <w:r w:rsidR="00E16F49" w:rsidRPr="00F868F4">
        <w:rPr>
          <w:sz w:val="28"/>
          <w:szCs w:val="28"/>
        </w:rPr>
        <w:t xml:space="preserve"> reforma </w:t>
      </w:r>
      <w:r w:rsidR="00755826" w:rsidRPr="00F868F4">
        <w:rPr>
          <w:sz w:val="28"/>
          <w:szCs w:val="28"/>
        </w:rPr>
        <w:t xml:space="preserve">a la Constitución local </w:t>
      </w:r>
      <w:r w:rsidR="00FE4542" w:rsidRPr="00F868F4">
        <w:rPr>
          <w:sz w:val="28"/>
          <w:szCs w:val="28"/>
        </w:rPr>
        <w:t>publicada el treinta de junio de dos mil quince</w:t>
      </w:r>
      <w:r w:rsidR="005F374C" w:rsidRPr="00F868F4">
        <w:rPr>
          <w:rStyle w:val="Refdenotaalpie"/>
          <w:sz w:val="28"/>
          <w:szCs w:val="28"/>
        </w:rPr>
        <w:footnoteReference w:id="60"/>
      </w:r>
      <w:r w:rsidR="00FE4542" w:rsidRPr="00F868F4">
        <w:rPr>
          <w:sz w:val="28"/>
          <w:szCs w:val="28"/>
        </w:rPr>
        <w:t>,</w:t>
      </w:r>
      <w:r w:rsidR="00E44A58" w:rsidRPr="00F868F4">
        <w:rPr>
          <w:sz w:val="28"/>
          <w:szCs w:val="28"/>
        </w:rPr>
        <w:t xml:space="preserve"> en la que dispuso que</w:t>
      </w:r>
      <w:r w:rsidR="00637D8E" w:rsidRPr="00F868F4">
        <w:rPr>
          <w:sz w:val="28"/>
          <w:szCs w:val="28"/>
        </w:rPr>
        <w:t>, por única ocasión,</w:t>
      </w:r>
      <w:r w:rsidR="00DE7409" w:rsidRPr="00F868F4">
        <w:rPr>
          <w:sz w:val="28"/>
          <w:szCs w:val="28"/>
        </w:rPr>
        <w:t xml:space="preserve"> las diputaciones locales y los integrantes de los ayuntamientos electos en el proceso electoral del año dos mil dieciséis conclui</w:t>
      </w:r>
      <w:r w:rsidR="00637D8E" w:rsidRPr="00F868F4">
        <w:rPr>
          <w:sz w:val="28"/>
          <w:szCs w:val="28"/>
        </w:rPr>
        <w:t>rían su</w:t>
      </w:r>
      <w:r w:rsidR="001F547D" w:rsidRPr="00F868F4">
        <w:rPr>
          <w:sz w:val="28"/>
          <w:szCs w:val="28"/>
        </w:rPr>
        <w:t>s</w:t>
      </w:r>
      <w:r w:rsidR="00637D8E" w:rsidRPr="00F868F4">
        <w:rPr>
          <w:sz w:val="28"/>
          <w:szCs w:val="28"/>
        </w:rPr>
        <w:t xml:space="preserve"> encargo</w:t>
      </w:r>
      <w:r w:rsidR="001F547D" w:rsidRPr="00F868F4">
        <w:rPr>
          <w:sz w:val="28"/>
          <w:szCs w:val="28"/>
        </w:rPr>
        <w:t>s</w:t>
      </w:r>
      <w:r w:rsidR="00637D8E" w:rsidRPr="00F868F4">
        <w:rPr>
          <w:sz w:val="28"/>
          <w:szCs w:val="28"/>
        </w:rPr>
        <w:t xml:space="preserve"> en dos mil dieciocho</w:t>
      </w:r>
      <w:r w:rsidR="00521C4E" w:rsidRPr="00F868F4">
        <w:rPr>
          <w:sz w:val="28"/>
          <w:szCs w:val="28"/>
        </w:rPr>
        <w:t xml:space="preserve">, para materializar </w:t>
      </w:r>
      <w:r w:rsidR="005F374C" w:rsidRPr="00F868F4">
        <w:rPr>
          <w:sz w:val="28"/>
          <w:szCs w:val="28"/>
        </w:rPr>
        <w:t>la</w:t>
      </w:r>
      <w:r w:rsidR="00521C4E" w:rsidRPr="00F868F4">
        <w:rPr>
          <w:sz w:val="28"/>
          <w:szCs w:val="28"/>
        </w:rPr>
        <w:t xml:space="preserve"> concurrencia</w:t>
      </w:r>
      <w:r w:rsidR="005F374C" w:rsidRPr="00F868F4">
        <w:rPr>
          <w:sz w:val="28"/>
          <w:szCs w:val="28"/>
        </w:rPr>
        <w:t xml:space="preserve"> de </w:t>
      </w:r>
      <w:r w:rsidR="002A79E8" w:rsidRPr="00F868F4">
        <w:rPr>
          <w:sz w:val="28"/>
          <w:szCs w:val="28"/>
        </w:rPr>
        <w:t>sus</w:t>
      </w:r>
      <w:r w:rsidR="004A007F" w:rsidRPr="00F868F4">
        <w:rPr>
          <w:sz w:val="28"/>
          <w:szCs w:val="28"/>
        </w:rPr>
        <w:t xml:space="preserve"> procesos electorales </w:t>
      </w:r>
      <w:r w:rsidR="00521C4E" w:rsidRPr="00F868F4">
        <w:rPr>
          <w:sz w:val="28"/>
          <w:szCs w:val="28"/>
        </w:rPr>
        <w:t xml:space="preserve">con </w:t>
      </w:r>
      <w:r w:rsidR="005F374C" w:rsidRPr="00F868F4">
        <w:rPr>
          <w:sz w:val="28"/>
          <w:szCs w:val="28"/>
        </w:rPr>
        <w:t>los comicios</w:t>
      </w:r>
      <w:r w:rsidR="00521C4E" w:rsidRPr="00F868F4">
        <w:rPr>
          <w:sz w:val="28"/>
          <w:szCs w:val="28"/>
        </w:rPr>
        <w:t xml:space="preserve"> federales </w:t>
      </w:r>
      <w:r w:rsidR="006D2A21" w:rsidRPr="00F868F4">
        <w:rPr>
          <w:sz w:val="28"/>
          <w:szCs w:val="28"/>
        </w:rPr>
        <w:t xml:space="preserve">a celebrarse </w:t>
      </w:r>
      <w:r w:rsidR="00521C4E" w:rsidRPr="00F868F4">
        <w:rPr>
          <w:sz w:val="28"/>
          <w:szCs w:val="28"/>
        </w:rPr>
        <w:t>ese</w:t>
      </w:r>
      <w:r w:rsidR="004A007F" w:rsidRPr="00F868F4">
        <w:rPr>
          <w:sz w:val="28"/>
          <w:szCs w:val="28"/>
        </w:rPr>
        <w:t xml:space="preserve"> mismo</w:t>
      </w:r>
      <w:r w:rsidR="00521C4E" w:rsidRPr="00F868F4">
        <w:rPr>
          <w:sz w:val="28"/>
          <w:szCs w:val="28"/>
        </w:rPr>
        <w:t xml:space="preserve"> año.</w:t>
      </w:r>
    </w:p>
    <w:p w14:paraId="42CA3E32" w14:textId="1845EB1B" w:rsidR="00A920ED" w:rsidRPr="00F868F4" w:rsidRDefault="00970132" w:rsidP="008E4185">
      <w:pPr>
        <w:pStyle w:val="Prrafo"/>
        <w:numPr>
          <w:ilvl w:val="0"/>
          <w:numId w:val="1"/>
        </w:numPr>
        <w:ind w:left="0" w:hanging="567"/>
        <w:rPr>
          <w:sz w:val="28"/>
          <w:szCs w:val="28"/>
        </w:rPr>
      </w:pPr>
      <w:r w:rsidRPr="00F868F4">
        <w:rPr>
          <w:sz w:val="28"/>
          <w:szCs w:val="28"/>
        </w:rPr>
        <w:t xml:space="preserve">Sin embargo, aún y cuando </w:t>
      </w:r>
      <w:r w:rsidR="002F583B" w:rsidRPr="00F868F4">
        <w:rPr>
          <w:sz w:val="28"/>
          <w:szCs w:val="28"/>
        </w:rPr>
        <w:t>no había un imperativo constitucional</w:t>
      </w:r>
      <w:r w:rsidR="008447A5" w:rsidRPr="00F868F4">
        <w:rPr>
          <w:sz w:val="28"/>
          <w:szCs w:val="28"/>
        </w:rPr>
        <w:t>,</w:t>
      </w:r>
      <w:r w:rsidR="00A76DD9" w:rsidRPr="00F868F4">
        <w:rPr>
          <w:sz w:val="28"/>
          <w:szCs w:val="28"/>
        </w:rPr>
        <w:t xml:space="preserve"> pues el estado de Oaxaca</w:t>
      </w:r>
      <w:r w:rsidR="0006394C" w:rsidRPr="00F868F4">
        <w:rPr>
          <w:sz w:val="28"/>
          <w:szCs w:val="28"/>
        </w:rPr>
        <w:t xml:space="preserve"> </w:t>
      </w:r>
      <w:r w:rsidR="00A76DD9" w:rsidRPr="00F868F4">
        <w:rPr>
          <w:sz w:val="28"/>
          <w:szCs w:val="28"/>
        </w:rPr>
        <w:t>realizó</w:t>
      </w:r>
      <w:r w:rsidR="0006394C" w:rsidRPr="00F868F4">
        <w:rPr>
          <w:sz w:val="28"/>
          <w:szCs w:val="28"/>
        </w:rPr>
        <w:t xml:space="preserve"> en su momento</w:t>
      </w:r>
      <w:r w:rsidR="00A76DD9" w:rsidRPr="00F868F4">
        <w:rPr>
          <w:sz w:val="28"/>
          <w:szCs w:val="28"/>
        </w:rPr>
        <w:t xml:space="preserve"> las adecuaciones para que dos de sus elecciones concurrieran con las </w:t>
      </w:r>
      <w:r w:rsidR="00B22940" w:rsidRPr="00F868F4">
        <w:rPr>
          <w:sz w:val="28"/>
          <w:szCs w:val="28"/>
        </w:rPr>
        <w:t>federales</w:t>
      </w:r>
      <w:r w:rsidR="00CA264E" w:rsidRPr="00F868F4">
        <w:rPr>
          <w:sz w:val="28"/>
          <w:szCs w:val="28"/>
        </w:rPr>
        <w:t xml:space="preserve">, </w:t>
      </w:r>
      <w:r w:rsidR="006B77D8" w:rsidRPr="00F868F4">
        <w:rPr>
          <w:sz w:val="28"/>
          <w:szCs w:val="28"/>
        </w:rPr>
        <w:t xml:space="preserve">mantenía la </w:t>
      </w:r>
      <w:r w:rsidR="006B77D8" w:rsidRPr="00F868F4">
        <w:rPr>
          <w:sz w:val="28"/>
          <w:szCs w:val="28"/>
        </w:rPr>
        <w:lastRenderedPageBreak/>
        <w:t xml:space="preserve">posibilidad de ejercer de nuevo su </w:t>
      </w:r>
      <w:r w:rsidR="001D5A22" w:rsidRPr="00F868F4">
        <w:rPr>
          <w:sz w:val="28"/>
          <w:szCs w:val="28"/>
        </w:rPr>
        <w:t xml:space="preserve">atribución de </w:t>
      </w:r>
      <w:r w:rsidR="00690082" w:rsidRPr="00F868F4">
        <w:rPr>
          <w:sz w:val="28"/>
          <w:szCs w:val="28"/>
        </w:rPr>
        <w:t>modificar</w:t>
      </w:r>
      <w:r w:rsidR="001D5A22" w:rsidRPr="00F868F4">
        <w:rPr>
          <w:sz w:val="28"/>
          <w:szCs w:val="28"/>
        </w:rPr>
        <w:t xml:space="preserve"> su régimen </w:t>
      </w:r>
      <w:r w:rsidR="00CA5141" w:rsidRPr="00F868F4">
        <w:rPr>
          <w:sz w:val="28"/>
          <w:szCs w:val="28"/>
        </w:rPr>
        <w:t>político-</w:t>
      </w:r>
      <w:r w:rsidR="001D5A22" w:rsidRPr="00F868F4">
        <w:rPr>
          <w:sz w:val="28"/>
          <w:szCs w:val="28"/>
        </w:rPr>
        <w:t xml:space="preserve">electoral para </w:t>
      </w:r>
      <w:r w:rsidR="00A853F6" w:rsidRPr="00F868F4">
        <w:rPr>
          <w:sz w:val="28"/>
          <w:szCs w:val="28"/>
        </w:rPr>
        <w:t>ampliar esa homologación</w:t>
      </w:r>
      <w:r w:rsidR="002406DE" w:rsidRPr="00F868F4">
        <w:rPr>
          <w:sz w:val="28"/>
          <w:szCs w:val="28"/>
        </w:rPr>
        <w:t xml:space="preserve"> </w:t>
      </w:r>
      <w:r w:rsidR="008E4185" w:rsidRPr="00F868F4">
        <w:rPr>
          <w:sz w:val="28"/>
          <w:szCs w:val="28"/>
        </w:rPr>
        <w:t xml:space="preserve">al proceso para la renovación de la persona titular del Poder Ejecutivo; </w:t>
      </w:r>
      <w:r w:rsidR="00810D11" w:rsidRPr="00F868F4">
        <w:rPr>
          <w:sz w:val="28"/>
          <w:szCs w:val="28"/>
        </w:rPr>
        <w:t xml:space="preserve">de modo que </w:t>
      </w:r>
      <w:r w:rsidR="00F71D86" w:rsidRPr="00F868F4">
        <w:rPr>
          <w:sz w:val="28"/>
          <w:szCs w:val="28"/>
        </w:rPr>
        <w:t>la totalidad de l</w:t>
      </w:r>
      <w:r w:rsidR="00057E02" w:rsidRPr="00F868F4">
        <w:rPr>
          <w:sz w:val="28"/>
          <w:szCs w:val="28"/>
        </w:rPr>
        <w:t xml:space="preserve">as elecciones estatales </w:t>
      </w:r>
      <w:r w:rsidR="00095F96" w:rsidRPr="00F868F4">
        <w:rPr>
          <w:sz w:val="28"/>
          <w:szCs w:val="28"/>
        </w:rPr>
        <w:t xml:space="preserve">se organizaran y celebraran de forma coincidente con las </w:t>
      </w:r>
      <w:r w:rsidR="00B22940" w:rsidRPr="00F868F4">
        <w:rPr>
          <w:sz w:val="28"/>
          <w:szCs w:val="28"/>
        </w:rPr>
        <w:t>del ámbito federal.</w:t>
      </w:r>
    </w:p>
    <w:p w14:paraId="48F3A336" w14:textId="5BB83627" w:rsidR="008E2A76" w:rsidRPr="00F868F4" w:rsidRDefault="008A4A09">
      <w:pPr>
        <w:pStyle w:val="Prrafo"/>
        <w:numPr>
          <w:ilvl w:val="0"/>
          <w:numId w:val="1"/>
        </w:numPr>
        <w:ind w:left="0" w:hanging="567"/>
        <w:rPr>
          <w:sz w:val="28"/>
          <w:szCs w:val="28"/>
        </w:rPr>
      </w:pPr>
      <w:r w:rsidRPr="00F868F4">
        <w:rPr>
          <w:sz w:val="28"/>
          <w:szCs w:val="28"/>
        </w:rPr>
        <w:t xml:space="preserve">Es irrelevante si </w:t>
      </w:r>
      <w:r w:rsidR="007E2B42" w:rsidRPr="00F868F4">
        <w:rPr>
          <w:sz w:val="28"/>
          <w:szCs w:val="28"/>
        </w:rPr>
        <w:t>esa</w:t>
      </w:r>
      <w:r w:rsidR="000D11A7" w:rsidRPr="00F868F4">
        <w:rPr>
          <w:sz w:val="28"/>
          <w:szCs w:val="28"/>
        </w:rPr>
        <w:t xml:space="preserve"> </w:t>
      </w:r>
      <w:r w:rsidR="00690082" w:rsidRPr="00F868F4">
        <w:rPr>
          <w:sz w:val="28"/>
          <w:szCs w:val="28"/>
        </w:rPr>
        <w:t xml:space="preserve">determinación </w:t>
      </w:r>
      <w:r w:rsidR="00AF6467" w:rsidRPr="00F868F4">
        <w:rPr>
          <w:sz w:val="28"/>
          <w:szCs w:val="28"/>
        </w:rPr>
        <w:t xml:space="preserve">se pretendió justificar en la optimización </w:t>
      </w:r>
      <w:r w:rsidR="000B1A53" w:rsidRPr="00F868F4">
        <w:rPr>
          <w:sz w:val="28"/>
          <w:szCs w:val="28"/>
        </w:rPr>
        <w:t xml:space="preserve">en el uso de recursos públicos, </w:t>
      </w:r>
      <w:r w:rsidR="00F47CBB" w:rsidRPr="00F868F4">
        <w:rPr>
          <w:sz w:val="28"/>
          <w:szCs w:val="28"/>
        </w:rPr>
        <w:t>la probabilidad de que aumente</w:t>
      </w:r>
      <w:r w:rsidR="006D335A" w:rsidRPr="00F868F4">
        <w:rPr>
          <w:sz w:val="28"/>
          <w:szCs w:val="28"/>
        </w:rPr>
        <w:t xml:space="preserve"> la participación ciudadana, </w:t>
      </w:r>
      <w:r w:rsidR="00197204" w:rsidRPr="00F868F4">
        <w:rPr>
          <w:sz w:val="28"/>
          <w:szCs w:val="28"/>
        </w:rPr>
        <w:t xml:space="preserve">o cualesquiera otras razones, pues no corresponde </w:t>
      </w:r>
      <w:r w:rsidR="00CF0461" w:rsidRPr="00F868F4">
        <w:rPr>
          <w:sz w:val="28"/>
          <w:szCs w:val="28"/>
        </w:rPr>
        <w:t xml:space="preserve">a esta Suprema Corte de Justicia de la Nación </w:t>
      </w:r>
      <w:r w:rsidR="009A7E59" w:rsidRPr="00F868F4">
        <w:rPr>
          <w:sz w:val="28"/>
          <w:szCs w:val="28"/>
        </w:rPr>
        <w:t>juzgar</w:t>
      </w:r>
      <w:r w:rsidR="00CF0461" w:rsidRPr="00F868F4">
        <w:rPr>
          <w:sz w:val="28"/>
          <w:szCs w:val="28"/>
        </w:rPr>
        <w:t xml:space="preserve"> su adecuación o conveniencia</w:t>
      </w:r>
      <w:r w:rsidR="00AA2AE3" w:rsidRPr="00F868F4">
        <w:rPr>
          <w:sz w:val="28"/>
          <w:szCs w:val="28"/>
        </w:rPr>
        <w:t xml:space="preserve">, </w:t>
      </w:r>
      <w:r w:rsidR="00CF0313" w:rsidRPr="00F868F4">
        <w:rPr>
          <w:sz w:val="28"/>
          <w:szCs w:val="28"/>
        </w:rPr>
        <w:t xml:space="preserve">por lo que </w:t>
      </w:r>
      <w:r w:rsidR="002B31EB" w:rsidRPr="00F868F4">
        <w:rPr>
          <w:sz w:val="28"/>
          <w:szCs w:val="28"/>
        </w:rPr>
        <w:t xml:space="preserve">la decisión sobre la constitucionalidad de ese tipo de reformas no </w:t>
      </w:r>
      <w:r w:rsidR="00937654" w:rsidRPr="00F868F4">
        <w:rPr>
          <w:sz w:val="28"/>
          <w:szCs w:val="28"/>
        </w:rPr>
        <w:t xml:space="preserve">puede depender de </w:t>
      </w:r>
      <w:r w:rsidR="00FA1D4A" w:rsidRPr="00F868F4">
        <w:rPr>
          <w:sz w:val="28"/>
          <w:szCs w:val="28"/>
        </w:rPr>
        <w:t>una valoración de ese tipo</w:t>
      </w:r>
      <w:r w:rsidR="00CC7135" w:rsidRPr="00F868F4">
        <w:rPr>
          <w:sz w:val="28"/>
          <w:szCs w:val="28"/>
        </w:rPr>
        <w:t xml:space="preserve"> de variables fácticas</w:t>
      </w:r>
      <w:r w:rsidR="00AA2AE3" w:rsidRPr="00F868F4">
        <w:rPr>
          <w:sz w:val="28"/>
          <w:szCs w:val="28"/>
        </w:rPr>
        <w:t>.</w:t>
      </w:r>
    </w:p>
    <w:p w14:paraId="32512C9A" w14:textId="054BBB89" w:rsidR="00CD205F" w:rsidRPr="00F868F4" w:rsidRDefault="009F1A4B">
      <w:pPr>
        <w:pStyle w:val="Prrafo"/>
        <w:numPr>
          <w:ilvl w:val="0"/>
          <w:numId w:val="1"/>
        </w:numPr>
        <w:ind w:left="0" w:hanging="567"/>
        <w:rPr>
          <w:sz w:val="28"/>
          <w:szCs w:val="28"/>
        </w:rPr>
      </w:pPr>
      <w:r w:rsidRPr="00F868F4">
        <w:rPr>
          <w:sz w:val="28"/>
          <w:szCs w:val="28"/>
        </w:rPr>
        <w:t>El decreto impugnado es conforme al artículo 116 constitucional</w:t>
      </w:r>
      <w:r w:rsidR="005E01F5" w:rsidRPr="00F868F4">
        <w:rPr>
          <w:sz w:val="28"/>
          <w:szCs w:val="28"/>
        </w:rPr>
        <w:t>,</w:t>
      </w:r>
      <w:r w:rsidRPr="00F868F4">
        <w:rPr>
          <w:sz w:val="28"/>
          <w:szCs w:val="28"/>
        </w:rPr>
        <w:t xml:space="preserve"> </w:t>
      </w:r>
      <w:r w:rsidR="005E01F5" w:rsidRPr="00F868F4">
        <w:rPr>
          <w:sz w:val="28"/>
          <w:szCs w:val="28"/>
        </w:rPr>
        <w:t>puesto que</w:t>
      </w:r>
      <w:r w:rsidRPr="00F868F4">
        <w:rPr>
          <w:sz w:val="28"/>
          <w:szCs w:val="28"/>
        </w:rPr>
        <w:t xml:space="preserve"> </w:t>
      </w:r>
      <w:r w:rsidR="00CA528F" w:rsidRPr="00F868F4">
        <w:rPr>
          <w:sz w:val="28"/>
          <w:szCs w:val="28"/>
        </w:rPr>
        <w:t xml:space="preserve">tiene por finalidad legítima </w:t>
      </w:r>
      <w:r w:rsidR="00E70F27" w:rsidRPr="00F868F4">
        <w:rPr>
          <w:sz w:val="28"/>
          <w:szCs w:val="28"/>
        </w:rPr>
        <w:t>establecer</w:t>
      </w:r>
      <w:r w:rsidR="00CA528F" w:rsidRPr="00F868F4">
        <w:rPr>
          <w:sz w:val="28"/>
          <w:szCs w:val="28"/>
        </w:rPr>
        <w:t xml:space="preserve"> la concurrencia</w:t>
      </w:r>
      <w:r w:rsidR="00BC0F00" w:rsidRPr="00F868F4">
        <w:rPr>
          <w:sz w:val="28"/>
          <w:szCs w:val="28"/>
        </w:rPr>
        <w:t xml:space="preserve"> de la elección de la Gubernatura de Oaxaca con </w:t>
      </w:r>
      <w:r w:rsidR="00A01D99" w:rsidRPr="00F868F4">
        <w:rPr>
          <w:sz w:val="28"/>
          <w:szCs w:val="28"/>
        </w:rPr>
        <w:t xml:space="preserve">los comicios federales, específicamente con el </w:t>
      </w:r>
      <w:r w:rsidR="00743B06" w:rsidRPr="00F868F4">
        <w:rPr>
          <w:sz w:val="28"/>
          <w:szCs w:val="28"/>
        </w:rPr>
        <w:t>relativo a</w:t>
      </w:r>
      <w:r w:rsidR="00A01D99" w:rsidRPr="00F868F4">
        <w:rPr>
          <w:sz w:val="28"/>
          <w:szCs w:val="28"/>
        </w:rPr>
        <w:t xml:space="preserve"> la Presidencia de la República</w:t>
      </w:r>
      <w:r w:rsidR="005E01F5" w:rsidRPr="00F868F4">
        <w:rPr>
          <w:sz w:val="28"/>
          <w:szCs w:val="28"/>
        </w:rPr>
        <w:t>. Además, como medida necesaria para su materialización, en el artículo cuarto transitorio</w:t>
      </w:r>
      <w:r w:rsidR="00036249" w:rsidRPr="00F868F4">
        <w:rPr>
          <w:sz w:val="28"/>
          <w:szCs w:val="28"/>
        </w:rPr>
        <w:t xml:space="preserve"> se determinó modificar, por única ocasión, </w:t>
      </w:r>
      <w:r w:rsidR="00CD205F" w:rsidRPr="00F868F4">
        <w:rPr>
          <w:sz w:val="28"/>
          <w:szCs w:val="28"/>
        </w:rPr>
        <w:t>el mandato de la Gubernatura a un periodo de dos años</w:t>
      </w:r>
      <w:r w:rsidR="00CF0C4B" w:rsidRPr="00F868F4">
        <w:rPr>
          <w:sz w:val="28"/>
          <w:szCs w:val="28"/>
        </w:rPr>
        <w:t xml:space="preserve">, </w:t>
      </w:r>
      <w:r w:rsidR="00BC5272" w:rsidRPr="00F868F4">
        <w:rPr>
          <w:sz w:val="28"/>
          <w:szCs w:val="28"/>
        </w:rPr>
        <w:t xml:space="preserve">que </w:t>
      </w:r>
      <w:r w:rsidR="0027354B" w:rsidRPr="00F868F4">
        <w:rPr>
          <w:sz w:val="28"/>
          <w:szCs w:val="28"/>
        </w:rPr>
        <w:t>se ajusta</w:t>
      </w:r>
      <w:r w:rsidR="00BC5272" w:rsidRPr="00F868F4">
        <w:rPr>
          <w:sz w:val="28"/>
          <w:szCs w:val="28"/>
        </w:rPr>
        <w:t xml:space="preserve"> al límite</w:t>
      </w:r>
      <w:r w:rsidR="0027354B" w:rsidRPr="00F868F4">
        <w:rPr>
          <w:sz w:val="28"/>
          <w:szCs w:val="28"/>
        </w:rPr>
        <w:t xml:space="preserve"> máximo</w:t>
      </w:r>
      <w:r w:rsidR="00BC5272" w:rsidRPr="00F868F4">
        <w:rPr>
          <w:sz w:val="28"/>
          <w:szCs w:val="28"/>
        </w:rPr>
        <w:t xml:space="preserve"> dispuesto </w:t>
      </w:r>
      <w:r w:rsidR="004C26F1" w:rsidRPr="00F868F4">
        <w:rPr>
          <w:sz w:val="28"/>
          <w:szCs w:val="28"/>
        </w:rPr>
        <w:t>constitucionalmente.</w:t>
      </w:r>
    </w:p>
    <w:p w14:paraId="09E3019E" w14:textId="431CF232" w:rsidR="006A30A8" w:rsidRPr="00F868F4" w:rsidRDefault="000239AE" w:rsidP="00335B14">
      <w:pPr>
        <w:pStyle w:val="Prrafo"/>
        <w:numPr>
          <w:ilvl w:val="0"/>
          <w:numId w:val="1"/>
        </w:numPr>
        <w:ind w:left="0" w:hanging="567"/>
        <w:rPr>
          <w:sz w:val="28"/>
          <w:szCs w:val="28"/>
        </w:rPr>
      </w:pPr>
      <w:r w:rsidRPr="00F868F4">
        <w:rPr>
          <w:sz w:val="28"/>
          <w:szCs w:val="28"/>
        </w:rPr>
        <w:t xml:space="preserve">Ese precepto también respeta </w:t>
      </w:r>
      <w:r w:rsidR="0032111F" w:rsidRPr="00F868F4">
        <w:rPr>
          <w:sz w:val="28"/>
          <w:szCs w:val="28"/>
        </w:rPr>
        <w:t>el resto de los</w:t>
      </w:r>
      <w:r w:rsidRPr="00F868F4">
        <w:rPr>
          <w:sz w:val="28"/>
          <w:szCs w:val="28"/>
        </w:rPr>
        <w:t xml:space="preserve"> principios constitucionales involucrad</w:t>
      </w:r>
      <w:r w:rsidR="00C4110D" w:rsidRPr="00F868F4">
        <w:rPr>
          <w:sz w:val="28"/>
          <w:szCs w:val="28"/>
        </w:rPr>
        <w:t>o</w:t>
      </w:r>
      <w:r w:rsidRPr="00F868F4">
        <w:rPr>
          <w:sz w:val="28"/>
          <w:szCs w:val="28"/>
        </w:rPr>
        <w:t xml:space="preserve">s, pues la disminución excepcional </w:t>
      </w:r>
      <w:r w:rsidR="00531819" w:rsidRPr="00F868F4">
        <w:rPr>
          <w:sz w:val="28"/>
          <w:szCs w:val="28"/>
        </w:rPr>
        <w:t>del mandato de la gubernatura se establece como una previsión a futuro</w:t>
      </w:r>
      <w:r w:rsidR="00C23976" w:rsidRPr="00F868F4">
        <w:rPr>
          <w:sz w:val="28"/>
          <w:szCs w:val="28"/>
        </w:rPr>
        <w:t xml:space="preserve">, </w:t>
      </w:r>
      <w:r w:rsidR="005C30A3" w:rsidRPr="00F868F4">
        <w:rPr>
          <w:sz w:val="28"/>
          <w:szCs w:val="28"/>
        </w:rPr>
        <w:t>ya que</w:t>
      </w:r>
      <w:r w:rsidR="004C4CB6" w:rsidRPr="00F868F4">
        <w:rPr>
          <w:sz w:val="28"/>
          <w:szCs w:val="28"/>
        </w:rPr>
        <w:t xml:space="preserve"> aplicará</w:t>
      </w:r>
      <w:r w:rsidR="00DA7799" w:rsidRPr="00F868F4">
        <w:rPr>
          <w:sz w:val="28"/>
          <w:szCs w:val="28"/>
        </w:rPr>
        <w:t xml:space="preserve"> </w:t>
      </w:r>
      <w:r w:rsidR="00C261E4" w:rsidRPr="00F868F4">
        <w:rPr>
          <w:sz w:val="28"/>
          <w:szCs w:val="28"/>
        </w:rPr>
        <w:t>hasta</w:t>
      </w:r>
      <w:r w:rsidR="00C23976" w:rsidRPr="00F868F4">
        <w:rPr>
          <w:sz w:val="28"/>
          <w:szCs w:val="28"/>
        </w:rPr>
        <w:t xml:space="preserve"> la próxima elección</w:t>
      </w:r>
      <w:r w:rsidR="00DA7799" w:rsidRPr="00F868F4">
        <w:rPr>
          <w:sz w:val="28"/>
          <w:szCs w:val="28"/>
        </w:rPr>
        <w:t>,</w:t>
      </w:r>
      <w:r w:rsidR="00C23976" w:rsidRPr="00F868F4">
        <w:rPr>
          <w:sz w:val="28"/>
          <w:szCs w:val="28"/>
        </w:rPr>
        <w:t xml:space="preserve"> </w:t>
      </w:r>
      <w:r w:rsidR="00C261E4" w:rsidRPr="00F868F4">
        <w:rPr>
          <w:sz w:val="28"/>
          <w:szCs w:val="28"/>
        </w:rPr>
        <w:t>a celebrarse en</w:t>
      </w:r>
      <w:r w:rsidR="00C23976" w:rsidRPr="00F868F4">
        <w:rPr>
          <w:sz w:val="28"/>
          <w:szCs w:val="28"/>
        </w:rPr>
        <w:t xml:space="preserve"> el año dos mil veintiocho. </w:t>
      </w:r>
      <w:r w:rsidR="00B93ED0" w:rsidRPr="00F868F4">
        <w:rPr>
          <w:sz w:val="28"/>
          <w:szCs w:val="28"/>
        </w:rPr>
        <w:t xml:space="preserve">Esto se ve reflejado en los artículos segundo y tercero transitorios del decreto impugnado, pues </w:t>
      </w:r>
      <w:r w:rsidR="00424A9B" w:rsidRPr="00F868F4">
        <w:rPr>
          <w:sz w:val="28"/>
          <w:szCs w:val="28"/>
        </w:rPr>
        <w:t>precisan</w:t>
      </w:r>
      <w:r w:rsidR="00B93ED0" w:rsidRPr="00F868F4">
        <w:rPr>
          <w:sz w:val="28"/>
          <w:szCs w:val="28"/>
        </w:rPr>
        <w:t xml:space="preserve"> que la reforma entrará en vigor el primero de </w:t>
      </w:r>
      <w:r w:rsidR="00B93ED0" w:rsidRPr="00F868F4">
        <w:rPr>
          <w:sz w:val="28"/>
          <w:szCs w:val="28"/>
        </w:rPr>
        <w:lastRenderedPageBreak/>
        <w:t>enero de dos mil veinticinco y que no será aplicable al Titular del Poder Ejecutivo que esté en funciones en ese momento.</w:t>
      </w:r>
    </w:p>
    <w:p w14:paraId="170F6A28" w14:textId="6468CB0A" w:rsidR="004910D9" w:rsidRPr="00F868F4" w:rsidRDefault="004910D9" w:rsidP="004910D9">
      <w:pPr>
        <w:pStyle w:val="Prrafo"/>
        <w:numPr>
          <w:ilvl w:val="0"/>
          <w:numId w:val="1"/>
        </w:numPr>
        <w:ind w:left="0" w:hanging="567"/>
        <w:rPr>
          <w:sz w:val="28"/>
          <w:szCs w:val="28"/>
        </w:rPr>
      </w:pPr>
      <w:r w:rsidRPr="00F868F4">
        <w:rPr>
          <w:sz w:val="28"/>
          <w:szCs w:val="28"/>
        </w:rPr>
        <w:t>De esta manera, se establecen condiciones para que la ciudadanía ejerza su derecho al sufragio</w:t>
      </w:r>
      <w:r w:rsidR="00F1514C" w:rsidRPr="00F868F4">
        <w:rPr>
          <w:sz w:val="28"/>
          <w:szCs w:val="28"/>
        </w:rPr>
        <w:t>, tanto en su vertiente activa como en la pasiva, en condiciones de autenticidad</w:t>
      </w:r>
      <w:r w:rsidR="00712F80" w:rsidRPr="00F868F4">
        <w:rPr>
          <w:sz w:val="28"/>
          <w:szCs w:val="28"/>
        </w:rPr>
        <w:t>,</w:t>
      </w:r>
      <w:r w:rsidR="00A0715D" w:rsidRPr="00F868F4">
        <w:rPr>
          <w:sz w:val="28"/>
          <w:szCs w:val="28"/>
        </w:rPr>
        <w:t xml:space="preserve"> libertad</w:t>
      </w:r>
      <w:r w:rsidR="00712F80" w:rsidRPr="00F868F4">
        <w:rPr>
          <w:sz w:val="28"/>
          <w:szCs w:val="28"/>
        </w:rPr>
        <w:t xml:space="preserve"> y con pleno conocimiento de sus implicaciones</w:t>
      </w:r>
      <w:r w:rsidR="00A0715D" w:rsidRPr="00F868F4">
        <w:rPr>
          <w:sz w:val="28"/>
          <w:szCs w:val="28"/>
        </w:rPr>
        <w:t>.</w:t>
      </w:r>
      <w:r w:rsidR="00E33615" w:rsidRPr="00F868F4">
        <w:rPr>
          <w:sz w:val="28"/>
          <w:szCs w:val="28"/>
        </w:rPr>
        <w:t xml:space="preserve"> El objetivo de la normativa transitoria del decreto controvertido es, precisamente, </w:t>
      </w:r>
      <w:r w:rsidR="00EB1D07" w:rsidRPr="00F868F4">
        <w:rPr>
          <w:sz w:val="28"/>
          <w:szCs w:val="28"/>
        </w:rPr>
        <w:t xml:space="preserve">armonizar </w:t>
      </w:r>
      <w:r w:rsidR="003B15EF" w:rsidRPr="00F868F4">
        <w:rPr>
          <w:sz w:val="28"/>
          <w:szCs w:val="28"/>
        </w:rPr>
        <w:t>el contenido de los artículos 25, base A, fracción I, y 69 de la Constitución Política del estado</w:t>
      </w:r>
      <w:r w:rsidR="00C850C1" w:rsidRPr="00F868F4">
        <w:rPr>
          <w:sz w:val="28"/>
          <w:szCs w:val="28"/>
        </w:rPr>
        <w:t>,</w:t>
      </w:r>
      <w:r w:rsidR="005B7C05" w:rsidRPr="00F868F4">
        <w:rPr>
          <w:sz w:val="28"/>
          <w:szCs w:val="28"/>
        </w:rPr>
        <w:t xml:space="preserve"> por lo cual se justifica que el siguiente mandato de la Gubernatura </w:t>
      </w:r>
      <w:r w:rsidR="001513E3" w:rsidRPr="00F868F4">
        <w:rPr>
          <w:sz w:val="28"/>
          <w:szCs w:val="28"/>
        </w:rPr>
        <w:t>tenga,</w:t>
      </w:r>
      <w:r w:rsidR="005B7C05" w:rsidRPr="00F868F4">
        <w:rPr>
          <w:sz w:val="28"/>
          <w:szCs w:val="28"/>
        </w:rPr>
        <w:t xml:space="preserve"> por </w:t>
      </w:r>
      <w:r w:rsidR="001513E3" w:rsidRPr="00F868F4">
        <w:rPr>
          <w:sz w:val="28"/>
          <w:szCs w:val="28"/>
        </w:rPr>
        <w:t>única ocasión,</w:t>
      </w:r>
      <w:r w:rsidR="005B7C05" w:rsidRPr="00F868F4">
        <w:rPr>
          <w:sz w:val="28"/>
          <w:szCs w:val="28"/>
        </w:rPr>
        <w:t xml:space="preserve"> </w:t>
      </w:r>
      <w:r w:rsidR="001513E3" w:rsidRPr="00F868F4">
        <w:rPr>
          <w:sz w:val="28"/>
          <w:szCs w:val="28"/>
        </w:rPr>
        <w:t>una duración</w:t>
      </w:r>
      <w:r w:rsidR="005B7C05" w:rsidRPr="00F868F4">
        <w:rPr>
          <w:sz w:val="28"/>
          <w:szCs w:val="28"/>
        </w:rPr>
        <w:t xml:space="preserve"> menor al</w:t>
      </w:r>
      <w:r w:rsidR="001513E3" w:rsidRPr="00F868F4">
        <w:rPr>
          <w:sz w:val="28"/>
          <w:szCs w:val="28"/>
        </w:rPr>
        <w:t xml:space="preserve"> periodo</w:t>
      </w:r>
      <w:r w:rsidR="005B7C05" w:rsidRPr="00F868F4">
        <w:rPr>
          <w:sz w:val="28"/>
          <w:szCs w:val="28"/>
        </w:rPr>
        <w:t xml:space="preserve"> ordinario de seis años.</w:t>
      </w:r>
    </w:p>
    <w:p w14:paraId="2F4539D1" w14:textId="13EA1E5E" w:rsidR="00903A4C" w:rsidRPr="00F868F4" w:rsidRDefault="0029770E">
      <w:pPr>
        <w:pStyle w:val="Prrafo"/>
        <w:numPr>
          <w:ilvl w:val="0"/>
          <w:numId w:val="1"/>
        </w:numPr>
        <w:ind w:left="0" w:hanging="567"/>
        <w:rPr>
          <w:sz w:val="28"/>
          <w:szCs w:val="28"/>
        </w:rPr>
      </w:pPr>
      <w:r w:rsidRPr="00F868F4">
        <w:rPr>
          <w:sz w:val="28"/>
          <w:szCs w:val="28"/>
        </w:rPr>
        <w:t xml:space="preserve">Con base en las consideraciones expuestas, este Tribunal Pleno concluye que son </w:t>
      </w:r>
      <w:r w:rsidRPr="00F868F4">
        <w:rPr>
          <w:b/>
          <w:bCs/>
          <w:sz w:val="28"/>
          <w:szCs w:val="28"/>
        </w:rPr>
        <w:t>infundados</w:t>
      </w:r>
      <w:r w:rsidRPr="00F868F4">
        <w:rPr>
          <w:sz w:val="28"/>
          <w:szCs w:val="28"/>
        </w:rPr>
        <w:t xml:space="preserve"> los planteamientos</w:t>
      </w:r>
      <w:r w:rsidR="000520DB" w:rsidRPr="00F868F4">
        <w:rPr>
          <w:sz w:val="28"/>
          <w:szCs w:val="28"/>
        </w:rPr>
        <w:t xml:space="preserve"> </w:t>
      </w:r>
      <w:r w:rsidR="00936EFD" w:rsidRPr="00F868F4">
        <w:rPr>
          <w:sz w:val="28"/>
          <w:szCs w:val="28"/>
        </w:rPr>
        <w:t>relacionados con la violación del artículo 116 de la Constitución Política del país.</w:t>
      </w:r>
    </w:p>
    <w:p w14:paraId="7E04CF93" w14:textId="6FDDC1C4" w:rsidR="007B2CB5" w:rsidRPr="00F868F4" w:rsidRDefault="007B2CB5" w:rsidP="007B2CB5">
      <w:pPr>
        <w:pStyle w:val="Ttulo2"/>
        <w:keepNext/>
        <w:jc w:val="center"/>
        <w:rPr>
          <w:rFonts w:ascii="Arial" w:hAnsi="Arial"/>
        </w:rPr>
      </w:pPr>
      <w:r w:rsidRPr="00F868F4">
        <w:rPr>
          <w:rFonts w:ascii="Arial" w:hAnsi="Arial"/>
        </w:rPr>
        <w:t xml:space="preserve">V.3. Presunta violación </w:t>
      </w:r>
      <w:r w:rsidR="001919DA" w:rsidRPr="00F868F4">
        <w:rPr>
          <w:rFonts w:ascii="Arial" w:hAnsi="Arial"/>
        </w:rPr>
        <w:t>del</w:t>
      </w:r>
      <w:r w:rsidRPr="00F868F4">
        <w:rPr>
          <w:rFonts w:ascii="Arial" w:hAnsi="Arial"/>
        </w:rPr>
        <w:t xml:space="preserve"> principio de paridad de género</w:t>
      </w:r>
    </w:p>
    <w:p w14:paraId="4695A226" w14:textId="440B063B" w:rsidR="007B2CB5" w:rsidRPr="00F868F4" w:rsidRDefault="009D1C71">
      <w:pPr>
        <w:pStyle w:val="Prrafo"/>
        <w:numPr>
          <w:ilvl w:val="0"/>
          <w:numId w:val="1"/>
        </w:numPr>
        <w:ind w:left="0" w:hanging="567"/>
        <w:rPr>
          <w:sz w:val="28"/>
          <w:szCs w:val="28"/>
        </w:rPr>
      </w:pPr>
      <w:r w:rsidRPr="00F868F4">
        <w:rPr>
          <w:sz w:val="28"/>
          <w:szCs w:val="28"/>
        </w:rPr>
        <w:t xml:space="preserve">El partido promovente sostiene que </w:t>
      </w:r>
      <w:r w:rsidR="008C1743" w:rsidRPr="00F868F4">
        <w:rPr>
          <w:sz w:val="28"/>
          <w:szCs w:val="28"/>
        </w:rPr>
        <w:t>la reducción</w:t>
      </w:r>
      <w:r w:rsidR="006335CD" w:rsidRPr="00F868F4">
        <w:rPr>
          <w:sz w:val="28"/>
          <w:szCs w:val="28"/>
        </w:rPr>
        <w:t xml:space="preserve"> del periodo</w:t>
      </w:r>
      <w:r w:rsidR="008C1743" w:rsidRPr="00F868F4">
        <w:rPr>
          <w:sz w:val="28"/>
          <w:szCs w:val="28"/>
        </w:rPr>
        <w:t xml:space="preserve"> de la próxima Gubernatura afecta en gran medida a las mujeres que pretendan ser candidatas, porque </w:t>
      </w:r>
      <w:r w:rsidR="00F468B5" w:rsidRPr="00F868F4">
        <w:rPr>
          <w:sz w:val="28"/>
          <w:szCs w:val="28"/>
        </w:rPr>
        <w:t>les impide su derecho a desempeñar el encargo por el periodo de seis años que establece la Constitución local.</w:t>
      </w:r>
      <w:r w:rsidR="00323BAD" w:rsidRPr="00F868F4">
        <w:rPr>
          <w:sz w:val="28"/>
          <w:szCs w:val="28"/>
        </w:rPr>
        <w:t xml:space="preserve"> </w:t>
      </w:r>
      <w:r w:rsidR="006335CD" w:rsidRPr="00F868F4">
        <w:rPr>
          <w:sz w:val="28"/>
          <w:szCs w:val="28"/>
        </w:rPr>
        <w:t xml:space="preserve">Lo anterior, partiendo de la premisa consistente en que, con base en </w:t>
      </w:r>
      <w:r w:rsidR="00D17620" w:rsidRPr="00F868F4">
        <w:rPr>
          <w:sz w:val="28"/>
          <w:szCs w:val="28"/>
        </w:rPr>
        <w:t xml:space="preserve">el mandato constitucional de paridad de género y </w:t>
      </w:r>
      <w:r w:rsidR="004B1B20" w:rsidRPr="00F868F4">
        <w:rPr>
          <w:sz w:val="28"/>
          <w:szCs w:val="28"/>
        </w:rPr>
        <w:t>su implementación en diversas</w:t>
      </w:r>
      <w:r w:rsidR="00D17620" w:rsidRPr="00F868F4">
        <w:rPr>
          <w:sz w:val="28"/>
          <w:szCs w:val="28"/>
        </w:rPr>
        <w:t xml:space="preserve"> resoluciones adoptadas por el Consejo General del Instituto Nacional Electoral y la Sala Superior del Tribunal Electoral del Poder Judicial de la Federación, </w:t>
      </w:r>
      <w:r w:rsidR="0087116B" w:rsidRPr="00F868F4">
        <w:rPr>
          <w:sz w:val="28"/>
          <w:szCs w:val="28"/>
        </w:rPr>
        <w:t>la próxima Gubernatura debe corresponder a una mujer.</w:t>
      </w:r>
    </w:p>
    <w:p w14:paraId="45087C3B" w14:textId="1846B90A" w:rsidR="008E0B8C" w:rsidRPr="00F868F4" w:rsidRDefault="006541A8">
      <w:pPr>
        <w:pStyle w:val="Prrafo"/>
        <w:numPr>
          <w:ilvl w:val="0"/>
          <w:numId w:val="1"/>
        </w:numPr>
        <w:ind w:left="0" w:hanging="567"/>
        <w:rPr>
          <w:sz w:val="28"/>
          <w:szCs w:val="28"/>
        </w:rPr>
      </w:pPr>
      <w:r w:rsidRPr="00F868F4">
        <w:rPr>
          <w:sz w:val="28"/>
          <w:szCs w:val="28"/>
        </w:rPr>
        <w:t xml:space="preserve">Esta Suprema Corte </w:t>
      </w:r>
      <w:r w:rsidR="00341ACB" w:rsidRPr="00F868F4">
        <w:rPr>
          <w:sz w:val="28"/>
          <w:szCs w:val="28"/>
        </w:rPr>
        <w:t xml:space="preserve">considera que </w:t>
      </w:r>
      <w:r w:rsidR="00341ACB" w:rsidRPr="00F868F4">
        <w:rPr>
          <w:b/>
          <w:bCs/>
          <w:sz w:val="28"/>
          <w:szCs w:val="28"/>
        </w:rPr>
        <w:t>no le asiste razón</w:t>
      </w:r>
      <w:r w:rsidR="00341ACB" w:rsidRPr="00F868F4">
        <w:rPr>
          <w:sz w:val="28"/>
          <w:szCs w:val="28"/>
        </w:rPr>
        <w:t xml:space="preserve"> al accionante, debido a que el decreto impugnado, por sí mismo, no contraviene el principio constitucional de paridad de género, ni los derechos de </w:t>
      </w:r>
      <w:r w:rsidR="00341ACB" w:rsidRPr="00F868F4">
        <w:rPr>
          <w:sz w:val="28"/>
          <w:szCs w:val="28"/>
        </w:rPr>
        <w:lastRenderedPageBreak/>
        <w:t>participación política de las mujeres.</w:t>
      </w:r>
      <w:r w:rsidR="003E6B30" w:rsidRPr="00F868F4">
        <w:rPr>
          <w:sz w:val="28"/>
          <w:szCs w:val="28"/>
        </w:rPr>
        <w:t xml:space="preserve"> </w:t>
      </w:r>
      <w:r w:rsidR="008B44BA" w:rsidRPr="00F868F4">
        <w:rPr>
          <w:sz w:val="28"/>
          <w:szCs w:val="28"/>
        </w:rPr>
        <w:t>Su</w:t>
      </w:r>
      <w:r w:rsidR="00F75476" w:rsidRPr="00F868F4">
        <w:rPr>
          <w:sz w:val="28"/>
          <w:szCs w:val="28"/>
        </w:rPr>
        <w:t xml:space="preserve"> planteamiento </w:t>
      </w:r>
      <w:r w:rsidR="008B44BA" w:rsidRPr="00F868F4">
        <w:rPr>
          <w:sz w:val="28"/>
          <w:szCs w:val="28"/>
        </w:rPr>
        <w:t xml:space="preserve">adopta como premisa un hecho incierto, </w:t>
      </w:r>
      <w:r w:rsidR="008B414E" w:rsidRPr="00F868F4">
        <w:rPr>
          <w:sz w:val="28"/>
          <w:szCs w:val="28"/>
        </w:rPr>
        <w:t>debido a que</w:t>
      </w:r>
      <w:r w:rsidR="00C4015C" w:rsidRPr="00F868F4">
        <w:rPr>
          <w:sz w:val="28"/>
          <w:szCs w:val="28"/>
        </w:rPr>
        <w:t xml:space="preserve"> del principio</w:t>
      </w:r>
      <w:r w:rsidR="00974BAC" w:rsidRPr="00F868F4">
        <w:rPr>
          <w:sz w:val="28"/>
          <w:szCs w:val="28"/>
        </w:rPr>
        <w:t xml:space="preserve"> constitucional</w:t>
      </w:r>
      <w:r w:rsidR="00C4015C" w:rsidRPr="00F868F4">
        <w:rPr>
          <w:sz w:val="28"/>
          <w:szCs w:val="28"/>
        </w:rPr>
        <w:t xml:space="preserve"> de paridad de género </w:t>
      </w:r>
      <w:r w:rsidR="00974BAC" w:rsidRPr="00F868F4">
        <w:rPr>
          <w:sz w:val="28"/>
          <w:szCs w:val="28"/>
        </w:rPr>
        <w:t xml:space="preserve">no se sigue </w:t>
      </w:r>
      <w:r w:rsidR="001E0EF1" w:rsidRPr="00F868F4">
        <w:rPr>
          <w:sz w:val="28"/>
          <w:szCs w:val="28"/>
        </w:rPr>
        <w:t xml:space="preserve">que en el proceso electoral </w:t>
      </w:r>
      <w:r w:rsidR="00A70723" w:rsidRPr="00F868F4">
        <w:rPr>
          <w:sz w:val="28"/>
          <w:szCs w:val="28"/>
        </w:rPr>
        <w:t>a celebrarse en</w:t>
      </w:r>
      <w:r w:rsidR="00810897" w:rsidRPr="00F868F4">
        <w:rPr>
          <w:sz w:val="28"/>
          <w:szCs w:val="28"/>
        </w:rPr>
        <w:t xml:space="preserve"> dos mil veintiocho necesariamente se </w:t>
      </w:r>
      <w:r w:rsidR="00A70723" w:rsidRPr="00F868F4">
        <w:rPr>
          <w:sz w:val="28"/>
          <w:szCs w:val="28"/>
        </w:rPr>
        <w:t>elegirá</w:t>
      </w:r>
      <w:r w:rsidR="00810897" w:rsidRPr="00F868F4">
        <w:rPr>
          <w:sz w:val="28"/>
          <w:szCs w:val="28"/>
        </w:rPr>
        <w:t xml:space="preserve"> a una mujer como Gobernadora del estado de Oaxaca.</w:t>
      </w:r>
    </w:p>
    <w:p w14:paraId="4671866E" w14:textId="0A18D322" w:rsidR="00E36B2C" w:rsidRPr="00F868F4" w:rsidRDefault="00F62FD9" w:rsidP="00C6104B">
      <w:pPr>
        <w:pStyle w:val="Prrafo"/>
        <w:numPr>
          <w:ilvl w:val="0"/>
          <w:numId w:val="1"/>
        </w:numPr>
        <w:ind w:left="0" w:hanging="567"/>
        <w:rPr>
          <w:sz w:val="28"/>
          <w:szCs w:val="28"/>
        </w:rPr>
      </w:pPr>
      <w:r w:rsidRPr="00F868F4">
        <w:rPr>
          <w:sz w:val="28"/>
          <w:szCs w:val="28"/>
        </w:rPr>
        <w:t>Además</w:t>
      </w:r>
      <w:r w:rsidR="001B7863" w:rsidRPr="00F868F4">
        <w:rPr>
          <w:sz w:val="28"/>
          <w:szCs w:val="28"/>
        </w:rPr>
        <w:t xml:space="preserve">, </w:t>
      </w:r>
      <w:r w:rsidR="00482B7D" w:rsidRPr="00F868F4">
        <w:rPr>
          <w:sz w:val="28"/>
          <w:szCs w:val="28"/>
        </w:rPr>
        <w:t>al ser válido</w:t>
      </w:r>
      <w:r w:rsidR="00FD643A" w:rsidRPr="00F868F4">
        <w:rPr>
          <w:sz w:val="28"/>
          <w:szCs w:val="28"/>
        </w:rPr>
        <w:t xml:space="preserve"> que se prevea</w:t>
      </w:r>
      <w:r w:rsidR="005F0A81" w:rsidRPr="00F868F4">
        <w:rPr>
          <w:sz w:val="28"/>
          <w:szCs w:val="28"/>
        </w:rPr>
        <w:t xml:space="preserve"> excepcionalmente</w:t>
      </w:r>
      <w:r w:rsidR="00FD643A" w:rsidRPr="00F868F4">
        <w:rPr>
          <w:sz w:val="28"/>
          <w:szCs w:val="28"/>
        </w:rPr>
        <w:t xml:space="preserve"> un mandato reducido de la Gubernatura con el fin de lograr </w:t>
      </w:r>
      <w:r w:rsidR="000D52D2" w:rsidRPr="00F868F4">
        <w:rPr>
          <w:sz w:val="28"/>
          <w:szCs w:val="28"/>
        </w:rPr>
        <w:t xml:space="preserve">la concurrencia de </w:t>
      </w:r>
      <w:r w:rsidR="00F8567C" w:rsidRPr="00F868F4">
        <w:rPr>
          <w:sz w:val="28"/>
          <w:szCs w:val="28"/>
        </w:rPr>
        <w:t>esa</w:t>
      </w:r>
      <w:r w:rsidR="000D52D2" w:rsidRPr="00F868F4">
        <w:rPr>
          <w:sz w:val="28"/>
          <w:szCs w:val="28"/>
        </w:rPr>
        <w:t xml:space="preserve"> elección</w:t>
      </w:r>
      <w:r w:rsidR="003A362E" w:rsidRPr="00F868F4">
        <w:rPr>
          <w:sz w:val="28"/>
          <w:szCs w:val="28"/>
        </w:rPr>
        <w:t xml:space="preserve"> local</w:t>
      </w:r>
      <w:r w:rsidR="000D52D2" w:rsidRPr="00F868F4">
        <w:rPr>
          <w:sz w:val="28"/>
          <w:szCs w:val="28"/>
        </w:rPr>
        <w:t xml:space="preserve"> con los comicios federales,</w:t>
      </w:r>
      <w:r w:rsidR="008D7B76" w:rsidRPr="00F868F4">
        <w:rPr>
          <w:sz w:val="28"/>
          <w:szCs w:val="28"/>
        </w:rPr>
        <w:t xml:space="preserve"> </w:t>
      </w:r>
      <w:r w:rsidR="00F8567C" w:rsidRPr="00F868F4">
        <w:rPr>
          <w:sz w:val="28"/>
          <w:szCs w:val="28"/>
        </w:rPr>
        <w:t>dicha</w:t>
      </w:r>
      <w:r w:rsidR="00987D19" w:rsidRPr="00F868F4">
        <w:rPr>
          <w:sz w:val="28"/>
          <w:szCs w:val="28"/>
        </w:rPr>
        <w:t xml:space="preserve"> condición temporal no es susceptible de violar</w:t>
      </w:r>
      <w:r w:rsidR="008D7B76" w:rsidRPr="00F868F4">
        <w:rPr>
          <w:sz w:val="28"/>
          <w:szCs w:val="28"/>
        </w:rPr>
        <w:t xml:space="preserve"> los derechos de participación política de la ciudadanía de Oaxaca</w:t>
      </w:r>
      <w:r w:rsidR="00C6104B" w:rsidRPr="00F868F4">
        <w:rPr>
          <w:sz w:val="28"/>
          <w:szCs w:val="28"/>
        </w:rPr>
        <w:t xml:space="preserve"> en general, ni los de las mujeres en lo particular. </w:t>
      </w:r>
      <w:r w:rsidR="007B12AF" w:rsidRPr="00F868F4">
        <w:rPr>
          <w:sz w:val="28"/>
          <w:szCs w:val="28"/>
        </w:rPr>
        <w:t>En los párrafos subsecuentes se desarrollan los razonamientos que respaldan esta determinación.</w:t>
      </w:r>
    </w:p>
    <w:p w14:paraId="70A4F452" w14:textId="77777777" w:rsidR="00944C1A" w:rsidRPr="0000197A" w:rsidRDefault="00944C1A" w:rsidP="00944C1A">
      <w:pPr>
        <w:keepNext/>
        <w:tabs>
          <w:tab w:val="left" w:pos="426"/>
        </w:tabs>
        <w:spacing w:before="240" w:after="240" w:line="360" w:lineRule="auto"/>
        <w:jc w:val="center"/>
        <w:rPr>
          <w:rFonts w:ascii="Arial" w:hAnsi="Arial" w:cs="Arial"/>
          <w:b/>
          <w:sz w:val="28"/>
          <w:szCs w:val="28"/>
          <w:lang w:eastAsia="es-ES"/>
        </w:rPr>
      </w:pPr>
      <w:r w:rsidRPr="0000197A">
        <w:rPr>
          <w:rFonts w:ascii="Arial" w:hAnsi="Arial" w:cs="Arial"/>
          <w:b/>
          <w:sz w:val="28"/>
          <w:szCs w:val="28"/>
          <w:lang w:eastAsia="es-ES"/>
        </w:rPr>
        <w:t>A)</w:t>
      </w:r>
      <w:r w:rsidRPr="0000197A">
        <w:rPr>
          <w:rFonts w:ascii="Arial" w:hAnsi="Arial" w:cs="Arial"/>
          <w:b/>
          <w:i/>
          <w:iCs/>
          <w:sz w:val="28"/>
          <w:szCs w:val="28"/>
          <w:lang w:eastAsia="es-ES"/>
        </w:rPr>
        <w:t xml:space="preserve"> </w:t>
      </w:r>
      <w:r w:rsidRPr="0000197A">
        <w:rPr>
          <w:rFonts w:ascii="Arial" w:hAnsi="Arial" w:cs="Arial"/>
          <w:b/>
          <w:sz w:val="28"/>
          <w:szCs w:val="28"/>
          <w:lang w:eastAsia="es-ES"/>
        </w:rPr>
        <w:t>Parámetro de regularidad constitucional</w:t>
      </w:r>
    </w:p>
    <w:p w14:paraId="7CD11895" w14:textId="0BD2A8BC" w:rsidR="00A07697" w:rsidRPr="00F868F4" w:rsidRDefault="00B22BB4">
      <w:pPr>
        <w:pStyle w:val="Prrafo"/>
        <w:numPr>
          <w:ilvl w:val="0"/>
          <w:numId w:val="1"/>
        </w:numPr>
        <w:ind w:left="0" w:hanging="567"/>
        <w:rPr>
          <w:sz w:val="28"/>
          <w:szCs w:val="28"/>
        </w:rPr>
      </w:pPr>
      <w:r w:rsidRPr="00F868F4">
        <w:rPr>
          <w:sz w:val="28"/>
          <w:szCs w:val="28"/>
        </w:rPr>
        <w:t xml:space="preserve">El </w:t>
      </w:r>
      <w:r w:rsidR="00D22D8C" w:rsidRPr="00F868F4">
        <w:rPr>
          <w:sz w:val="28"/>
          <w:szCs w:val="28"/>
        </w:rPr>
        <w:t>mandato</w:t>
      </w:r>
      <w:r w:rsidRPr="00F868F4">
        <w:rPr>
          <w:sz w:val="28"/>
          <w:szCs w:val="28"/>
        </w:rPr>
        <w:t xml:space="preserve"> de paridad de género</w:t>
      </w:r>
      <w:r w:rsidR="00624E9B" w:rsidRPr="00F868F4">
        <w:rPr>
          <w:sz w:val="28"/>
          <w:szCs w:val="28"/>
        </w:rPr>
        <w:t xml:space="preserve"> se incorporó en el artículo 41, fracción I, segundo párrafo</w:t>
      </w:r>
      <w:r w:rsidR="00D22D8C" w:rsidRPr="00F868F4">
        <w:rPr>
          <w:sz w:val="28"/>
          <w:szCs w:val="28"/>
        </w:rPr>
        <w:t>, de la Constitución Política del país</w:t>
      </w:r>
      <w:r w:rsidR="0074058E" w:rsidRPr="00F868F4">
        <w:rPr>
          <w:sz w:val="28"/>
          <w:szCs w:val="28"/>
        </w:rPr>
        <w:t xml:space="preserve">, </w:t>
      </w:r>
      <w:r w:rsidR="00B21E51" w:rsidRPr="00F868F4">
        <w:rPr>
          <w:sz w:val="28"/>
          <w:szCs w:val="28"/>
        </w:rPr>
        <w:t>a través de</w:t>
      </w:r>
      <w:r w:rsidR="0074058E" w:rsidRPr="00F868F4">
        <w:rPr>
          <w:sz w:val="28"/>
          <w:szCs w:val="28"/>
        </w:rPr>
        <w:t xml:space="preserve"> un decreto de reforma publicado el diez de febrero de dos mil catorce</w:t>
      </w:r>
      <w:r w:rsidR="00E63CF6" w:rsidRPr="00F868F4">
        <w:rPr>
          <w:rStyle w:val="Refdenotaalpie"/>
          <w:sz w:val="28"/>
          <w:szCs w:val="28"/>
        </w:rPr>
        <w:footnoteReference w:id="61"/>
      </w:r>
      <w:r w:rsidR="009537CE" w:rsidRPr="00F868F4">
        <w:rPr>
          <w:sz w:val="28"/>
          <w:szCs w:val="28"/>
        </w:rPr>
        <w:t xml:space="preserve">. </w:t>
      </w:r>
      <w:r w:rsidR="00EC6E30" w:rsidRPr="00F868F4">
        <w:rPr>
          <w:sz w:val="28"/>
          <w:szCs w:val="28"/>
        </w:rPr>
        <w:t>P</w:t>
      </w:r>
      <w:r w:rsidR="00BF1794" w:rsidRPr="00F868F4">
        <w:rPr>
          <w:sz w:val="28"/>
          <w:szCs w:val="28"/>
        </w:rPr>
        <w:t xml:space="preserve">uede entenderse como </w:t>
      </w:r>
      <w:r w:rsidR="00E22CAA" w:rsidRPr="00F868F4">
        <w:rPr>
          <w:sz w:val="28"/>
          <w:szCs w:val="28"/>
        </w:rPr>
        <w:t>la</w:t>
      </w:r>
      <w:r w:rsidR="00BF1794" w:rsidRPr="00F868F4">
        <w:rPr>
          <w:sz w:val="28"/>
          <w:szCs w:val="28"/>
        </w:rPr>
        <w:t xml:space="preserve"> concreción</w:t>
      </w:r>
      <w:r w:rsidR="003273BE" w:rsidRPr="00F868F4">
        <w:rPr>
          <w:sz w:val="28"/>
          <w:szCs w:val="28"/>
        </w:rPr>
        <w:t xml:space="preserve"> </w:t>
      </w:r>
      <w:r w:rsidR="00BF1794" w:rsidRPr="00F868F4">
        <w:rPr>
          <w:sz w:val="28"/>
          <w:szCs w:val="28"/>
        </w:rPr>
        <w:t xml:space="preserve">del principio de igualdad y no </w:t>
      </w:r>
      <w:r w:rsidR="00BF1794" w:rsidRPr="00F868F4">
        <w:rPr>
          <w:sz w:val="28"/>
          <w:szCs w:val="28"/>
        </w:rPr>
        <w:lastRenderedPageBreak/>
        <w:t>discriminación</w:t>
      </w:r>
      <w:r w:rsidR="00E22CAA" w:rsidRPr="00F868F4">
        <w:rPr>
          <w:sz w:val="28"/>
          <w:szCs w:val="28"/>
        </w:rPr>
        <w:t xml:space="preserve"> </w:t>
      </w:r>
      <w:r w:rsidR="00BF1794" w:rsidRPr="00F868F4">
        <w:rPr>
          <w:sz w:val="28"/>
          <w:szCs w:val="28"/>
        </w:rPr>
        <w:t>por razón de género</w:t>
      </w:r>
      <w:r w:rsidR="0030585A" w:rsidRPr="00F868F4">
        <w:rPr>
          <w:rStyle w:val="Refdenotaalpie"/>
          <w:sz w:val="28"/>
          <w:szCs w:val="28"/>
        </w:rPr>
        <w:footnoteReference w:id="62"/>
      </w:r>
      <w:r w:rsidR="003273BE" w:rsidRPr="00F868F4">
        <w:rPr>
          <w:sz w:val="28"/>
          <w:szCs w:val="28"/>
        </w:rPr>
        <w:t xml:space="preserve"> en el ámbito político-electoral.</w:t>
      </w:r>
      <w:r w:rsidR="00BB3CFA" w:rsidRPr="00F868F4">
        <w:rPr>
          <w:sz w:val="28"/>
          <w:szCs w:val="28"/>
        </w:rPr>
        <w:t xml:space="preserve"> A pesar de que en un </w:t>
      </w:r>
      <w:r w:rsidR="009537CE" w:rsidRPr="00F868F4">
        <w:rPr>
          <w:sz w:val="28"/>
          <w:szCs w:val="28"/>
        </w:rPr>
        <w:t>inicio</w:t>
      </w:r>
      <w:r w:rsidR="00BB3CFA" w:rsidRPr="00F868F4">
        <w:rPr>
          <w:sz w:val="28"/>
          <w:szCs w:val="28"/>
        </w:rPr>
        <w:t xml:space="preserve"> </w:t>
      </w:r>
      <w:r w:rsidR="009537CE" w:rsidRPr="00F868F4">
        <w:rPr>
          <w:sz w:val="28"/>
          <w:szCs w:val="28"/>
        </w:rPr>
        <w:t>solamente</w:t>
      </w:r>
      <w:r w:rsidR="00BB3CFA" w:rsidRPr="00F868F4">
        <w:rPr>
          <w:sz w:val="28"/>
          <w:szCs w:val="28"/>
        </w:rPr>
        <w:t xml:space="preserve"> se </w:t>
      </w:r>
      <w:r w:rsidR="00FC604D" w:rsidRPr="00F868F4">
        <w:rPr>
          <w:sz w:val="28"/>
          <w:szCs w:val="28"/>
        </w:rPr>
        <w:t>vinculó</w:t>
      </w:r>
      <w:r w:rsidR="00BB3CFA" w:rsidRPr="00F868F4">
        <w:rPr>
          <w:sz w:val="28"/>
          <w:szCs w:val="28"/>
        </w:rPr>
        <w:t xml:space="preserve"> con las postulaciones </w:t>
      </w:r>
      <w:r w:rsidR="00FC604D" w:rsidRPr="00F868F4">
        <w:rPr>
          <w:sz w:val="28"/>
          <w:szCs w:val="28"/>
        </w:rPr>
        <w:t xml:space="preserve">a los cargos legislativos federales y locales, </w:t>
      </w:r>
      <w:r w:rsidR="009537CE" w:rsidRPr="00F868F4">
        <w:rPr>
          <w:sz w:val="28"/>
          <w:szCs w:val="28"/>
        </w:rPr>
        <w:t xml:space="preserve">esta Suprema Corte </w:t>
      </w:r>
      <w:r w:rsidR="009068A2" w:rsidRPr="00F868F4">
        <w:rPr>
          <w:sz w:val="28"/>
          <w:szCs w:val="28"/>
        </w:rPr>
        <w:t>lo concibió</w:t>
      </w:r>
      <w:r w:rsidR="00DE3335" w:rsidRPr="00F868F4">
        <w:rPr>
          <w:sz w:val="28"/>
          <w:szCs w:val="28"/>
        </w:rPr>
        <w:t xml:space="preserve"> en un sentido amplio</w:t>
      </w:r>
      <w:r w:rsidR="002B3343" w:rsidRPr="00F868F4">
        <w:rPr>
          <w:sz w:val="28"/>
          <w:szCs w:val="28"/>
        </w:rPr>
        <w:t xml:space="preserve">, </w:t>
      </w:r>
      <w:r w:rsidR="001725F9" w:rsidRPr="00F868F4">
        <w:rPr>
          <w:sz w:val="28"/>
          <w:szCs w:val="28"/>
        </w:rPr>
        <w:t>por lo que estableció que cualquier interpretación del artículo 41 constitucional que fomente la existencia de espacios de representación política sin la presencia de mujeres en su integración</w:t>
      </w:r>
      <w:r w:rsidR="00780FB2" w:rsidRPr="00F868F4">
        <w:rPr>
          <w:sz w:val="28"/>
          <w:szCs w:val="28"/>
        </w:rPr>
        <w:t xml:space="preserve"> es regresiva respecto al principio de igualdad sustantiva por razón de género</w:t>
      </w:r>
      <w:r w:rsidR="001B31A1" w:rsidRPr="00F868F4">
        <w:rPr>
          <w:rStyle w:val="Refdenotaalpie"/>
          <w:sz w:val="28"/>
          <w:szCs w:val="28"/>
        </w:rPr>
        <w:footnoteReference w:id="63"/>
      </w:r>
      <w:r w:rsidR="00780FB2" w:rsidRPr="00F868F4">
        <w:rPr>
          <w:sz w:val="28"/>
          <w:szCs w:val="28"/>
        </w:rPr>
        <w:t>.</w:t>
      </w:r>
    </w:p>
    <w:p w14:paraId="295ABEA3" w14:textId="77777777" w:rsidR="00A06B0D" w:rsidRPr="00F868F4" w:rsidRDefault="000A4E9B" w:rsidP="00A06B0D">
      <w:pPr>
        <w:pStyle w:val="Prrafo"/>
        <w:numPr>
          <w:ilvl w:val="0"/>
          <w:numId w:val="1"/>
        </w:numPr>
        <w:ind w:left="0" w:hanging="567"/>
        <w:rPr>
          <w:sz w:val="28"/>
          <w:szCs w:val="28"/>
        </w:rPr>
      </w:pPr>
      <w:r w:rsidRPr="00F868F4">
        <w:rPr>
          <w:sz w:val="28"/>
          <w:szCs w:val="28"/>
        </w:rPr>
        <w:t xml:space="preserve">Con base en esa perspectiva, estableció que </w:t>
      </w:r>
      <w:r w:rsidR="008E5495" w:rsidRPr="00F868F4">
        <w:rPr>
          <w:sz w:val="28"/>
          <w:szCs w:val="28"/>
        </w:rPr>
        <w:t xml:space="preserve">el principio de paridad entre los géneros </w:t>
      </w:r>
      <w:r w:rsidR="00030DAF" w:rsidRPr="00F868F4">
        <w:rPr>
          <w:sz w:val="28"/>
          <w:szCs w:val="28"/>
        </w:rPr>
        <w:t>debe trascender</w:t>
      </w:r>
      <w:r w:rsidR="008E5495" w:rsidRPr="00F868F4">
        <w:rPr>
          <w:sz w:val="28"/>
          <w:szCs w:val="28"/>
        </w:rPr>
        <w:t xml:space="preserve"> a la integración de los órganos representativos de las entidades federativas y, por tanto, no se agota en el registro o postulación de candidaturas por parte de los partidos políticos antes de la jornada electoral</w:t>
      </w:r>
      <w:r w:rsidR="00F16C5E" w:rsidRPr="00F868F4">
        <w:rPr>
          <w:rStyle w:val="Refdenotaalpie"/>
          <w:sz w:val="28"/>
          <w:szCs w:val="28"/>
        </w:rPr>
        <w:footnoteReference w:id="64"/>
      </w:r>
      <w:r w:rsidR="008E5495" w:rsidRPr="00F868F4">
        <w:rPr>
          <w:sz w:val="28"/>
          <w:szCs w:val="28"/>
        </w:rPr>
        <w:t xml:space="preserve">; es decir, </w:t>
      </w:r>
      <w:r w:rsidR="00FB5316" w:rsidRPr="00F868F4">
        <w:rPr>
          <w:sz w:val="28"/>
          <w:szCs w:val="28"/>
        </w:rPr>
        <w:t xml:space="preserve">que no solo se </w:t>
      </w:r>
      <w:r w:rsidR="00F16C5E" w:rsidRPr="00F868F4">
        <w:rPr>
          <w:sz w:val="28"/>
          <w:szCs w:val="28"/>
        </w:rPr>
        <w:t>debe</w:t>
      </w:r>
      <w:r w:rsidR="00FB5316" w:rsidRPr="00F868F4">
        <w:rPr>
          <w:sz w:val="28"/>
          <w:szCs w:val="28"/>
        </w:rPr>
        <w:t xml:space="preserve"> observar en las candidaturas</w:t>
      </w:r>
      <w:r w:rsidR="007770C3" w:rsidRPr="00F868F4">
        <w:rPr>
          <w:sz w:val="28"/>
          <w:szCs w:val="28"/>
        </w:rPr>
        <w:t xml:space="preserve"> de diputaciones locales</w:t>
      </w:r>
      <w:r w:rsidR="00FB5316" w:rsidRPr="00F868F4">
        <w:rPr>
          <w:sz w:val="28"/>
          <w:szCs w:val="28"/>
        </w:rPr>
        <w:t xml:space="preserve"> de mayoría relativ</w:t>
      </w:r>
      <w:r w:rsidR="00F16C5E" w:rsidRPr="00F868F4">
        <w:rPr>
          <w:sz w:val="28"/>
          <w:szCs w:val="28"/>
        </w:rPr>
        <w:t>a,</w:t>
      </w:r>
      <w:r w:rsidR="00FB5316" w:rsidRPr="00F868F4">
        <w:rPr>
          <w:sz w:val="28"/>
          <w:szCs w:val="28"/>
        </w:rPr>
        <w:t xml:space="preserve"> sino en el diseño para distribuir escaños conforme al sistema de representación proporcional.</w:t>
      </w:r>
    </w:p>
    <w:p w14:paraId="4D03D624" w14:textId="1FDB9167" w:rsidR="00663E15" w:rsidRPr="00F868F4" w:rsidRDefault="00A06B0D" w:rsidP="00663E15">
      <w:pPr>
        <w:pStyle w:val="Prrafo"/>
        <w:numPr>
          <w:ilvl w:val="0"/>
          <w:numId w:val="1"/>
        </w:numPr>
        <w:ind w:left="0" w:hanging="567"/>
        <w:rPr>
          <w:sz w:val="28"/>
          <w:szCs w:val="28"/>
        </w:rPr>
      </w:pPr>
      <w:r w:rsidRPr="00F868F4">
        <w:rPr>
          <w:bCs/>
          <w:sz w:val="28"/>
          <w:szCs w:val="28"/>
          <w:lang w:eastAsia="es-ES"/>
        </w:rPr>
        <w:t>El seis de junio de dos mil diecinueve</w:t>
      </w:r>
      <w:r w:rsidR="00C2630C" w:rsidRPr="00F868F4">
        <w:rPr>
          <w:bCs/>
          <w:sz w:val="28"/>
          <w:szCs w:val="28"/>
          <w:lang w:eastAsia="es-ES"/>
        </w:rPr>
        <w:t>,</w:t>
      </w:r>
      <w:r w:rsidRPr="00F868F4">
        <w:rPr>
          <w:bCs/>
          <w:sz w:val="28"/>
          <w:szCs w:val="28"/>
          <w:lang w:eastAsia="es-ES"/>
        </w:rPr>
        <w:t xml:space="preserve"> se publicó en el </w:t>
      </w:r>
      <w:r w:rsidRPr="00F868F4">
        <w:rPr>
          <w:bCs/>
          <w:i/>
          <w:iCs/>
          <w:sz w:val="28"/>
          <w:szCs w:val="28"/>
          <w:lang w:eastAsia="es-ES"/>
        </w:rPr>
        <w:t>Diario Oficial de la Federación</w:t>
      </w:r>
      <w:r w:rsidRPr="00F868F4">
        <w:rPr>
          <w:bCs/>
          <w:sz w:val="28"/>
          <w:szCs w:val="28"/>
          <w:lang w:eastAsia="es-ES"/>
        </w:rPr>
        <w:t xml:space="preserve"> una reforma </w:t>
      </w:r>
      <w:r w:rsidR="00B10B9E" w:rsidRPr="00F868F4">
        <w:rPr>
          <w:bCs/>
          <w:sz w:val="28"/>
          <w:szCs w:val="28"/>
          <w:lang w:eastAsia="es-ES"/>
        </w:rPr>
        <w:t xml:space="preserve">a la Constitución Política del país, orientada a </w:t>
      </w:r>
      <w:r w:rsidR="00B10B9E" w:rsidRPr="00F868F4">
        <w:rPr>
          <w:bCs/>
          <w:sz w:val="28"/>
          <w:szCs w:val="28"/>
          <w:lang w:eastAsia="es-ES"/>
        </w:rPr>
        <w:lastRenderedPageBreak/>
        <w:t xml:space="preserve">implementar y robustecer los contenidos relativos al </w:t>
      </w:r>
      <w:r w:rsidR="00DD40CE" w:rsidRPr="00F868F4">
        <w:rPr>
          <w:bCs/>
          <w:sz w:val="28"/>
          <w:szCs w:val="28"/>
          <w:lang w:eastAsia="es-ES"/>
        </w:rPr>
        <w:t>principio</w:t>
      </w:r>
      <w:r w:rsidR="00B10B9E" w:rsidRPr="00F868F4">
        <w:rPr>
          <w:bCs/>
          <w:sz w:val="28"/>
          <w:szCs w:val="28"/>
          <w:lang w:eastAsia="es-ES"/>
        </w:rPr>
        <w:t xml:space="preserve"> de paridad de género.</w:t>
      </w:r>
      <w:r w:rsidR="00663E15" w:rsidRPr="00F868F4">
        <w:rPr>
          <w:bCs/>
          <w:sz w:val="28"/>
          <w:szCs w:val="28"/>
          <w:lang w:eastAsia="es-ES"/>
        </w:rPr>
        <w:t xml:space="preserve"> De entre las modificaciones realizadas</w:t>
      </w:r>
      <w:r w:rsidR="00CF153F" w:rsidRPr="00F868F4">
        <w:rPr>
          <w:bCs/>
          <w:sz w:val="28"/>
          <w:szCs w:val="28"/>
          <w:lang w:eastAsia="es-ES"/>
        </w:rPr>
        <w:t xml:space="preserve"> destaca que</w:t>
      </w:r>
      <w:r w:rsidR="00663E15" w:rsidRPr="00F868F4">
        <w:rPr>
          <w:bCs/>
          <w:sz w:val="28"/>
          <w:szCs w:val="28"/>
          <w:lang w:eastAsia="es-ES"/>
        </w:rPr>
        <w:t xml:space="preserve">, en el artículo 35, fracción II, de la Constitución, se precisó como un derecho de la ciudadanía el </w:t>
      </w:r>
      <w:r w:rsidR="00663E15" w:rsidRPr="00F868F4">
        <w:rPr>
          <w:b/>
          <w:bCs/>
          <w:sz w:val="28"/>
          <w:szCs w:val="28"/>
          <w:lang w:eastAsia="es-ES"/>
        </w:rPr>
        <w:t>poder ser votada en condiciones de paridad para todos los cargos de elección popular</w:t>
      </w:r>
      <w:r w:rsidR="00663E15" w:rsidRPr="00F868F4">
        <w:rPr>
          <w:bCs/>
          <w:sz w:val="28"/>
          <w:szCs w:val="28"/>
          <w:lang w:eastAsia="es-ES"/>
        </w:rPr>
        <w:t xml:space="preserve">; sumado a que en el artículo 41, base I, se especificó que en la postulación de las candidaturas de los partidos políticos se observará el principio de paridad de género y que en las leyes electorales se adoptarán las reglas para garantizar la paridad de género </w:t>
      </w:r>
      <w:r w:rsidR="00663E15" w:rsidRPr="00F868F4">
        <w:rPr>
          <w:b/>
          <w:bCs/>
          <w:sz w:val="28"/>
          <w:szCs w:val="28"/>
          <w:lang w:eastAsia="es-ES"/>
        </w:rPr>
        <w:t>en las candidaturas a los distintos cargos de elección popular</w:t>
      </w:r>
      <w:r w:rsidR="00663E15" w:rsidRPr="00F868F4">
        <w:rPr>
          <w:bCs/>
          <w:sz w:val="28"/>
          <w:szCs w:val="28"/>
          <w:lang w:eastAsia="es-ES"/>
        </w:rPr>
        <w:t>.</w:t>
      </w:r>
    </w:p>
    <w:p w14:paraId="3B95FD63" w14:textId="3D9303B3" w:rsidR="00B10B9E" w:rsidRPr="00F868F4" w:rsidRDefault="00165698" w:rsidP="00A06B0D">
      <w:pPr>
        <w:pStyle w:val="Prrafo"/>
        <w:numPr>
          <w:ilvl w:val="0"/>
          <w:numId w:val="1"/>
        </w:numPr>
        <w:ind w:left="0" w:hanging="567"/>
        <w:rPr>
          <w:sz w:val="28"/>
          <w:szCs w:val="28"/>
        </w:rPr>
      </w:pPr>
      <w:r w:rsidRPr="00F868F4">
        <w:rPr>
          <w:bCs/>
          <w:sz w:val="28"/>
          <w:szCs w:val="28"/>
          <w:lang w:eastAsia="es-ES"/>
        </w:rPr>
        <w:t xml:space="preserve">Este Tribunal Pleno analizó por primera vez este nuevo marco constitucional al resolver la </w:t>
      </w:r>
      <w:r w:rsidRPr="00F868F4">
        <w:rPr>
          <w:b/>
          <w:sz w:val="28"/>
          <w:szCs w:val="28"/>
          <w:lang w:eastAsia="es-ES"/>
        </w:rPr>
        <w:t>contradicción de tesis 44/2016</w:t>
      </w:r>
      <w:r w:rsidR="008B6F7F" w:rsidRPr="00F868F4">
        <w:rPr>
          <w:rStyle w:val="Refdenotaalpie"/>
          <w:bCs/>
          <w:sz w:val="28"/>
          <w:szCs w:val="28"/>
          <w:lang w:eastAsia="es-ES"/>
        </w:rPr>
        <w:footnoteReference w:id="65"/>
      </w:r>
      <w:r w:rsidRPr="00F868F4">
        <w:rPr>
          <w:bCs/>
          <w:sz w:val="28"/>
          <w:szCs w:val="28"/>
          <w:lang w:eastAsia="es-ES"/>
        </w:rPr>
        <w:t xml:space="preserve">, el quince de octubre del dos mil diecinueve, en la cual reiteró que </w:t>
      </w:r>
      <w:r w:rsidRPr="00F868F4">
        <w:rPr>
          <w:b/>
          <w:sz w:val="28"/>
          <w:szCs w:val="28"/>
          <w:lang w:eastAsia="es-ES"/>
        </w:rPr>
        <w:t>la paridad de género es un mandato constitucional que tiende a salvaguardar la igualdad sustantiva entre los géneros</w:t>
      </w:r>
      <w:r w:rsidR="00CA491F" w:rsidRPr="00F868F4">
        <w:rPr>
          <w:bCs/>
          <w:sz w:val="28"/>
          <w:szCs w:val="28"/>
          <w:lang w:eastAsia="es-ES"/>
        </w:rPr>
        <w:t xml:space="preserve">, de modo que la reciente modificación constitucional hacía evidente el especial interés del Poder Constituyente de </w:t>
      </w:r>
      <w:r w:rsidR="00CA491F" w:rsidRPr="00F868F4">
        <w:rPr>
          <w:b/>
          <w:sz w:val="28"/>
          <w:szCs w:val="28"/>
          <w:lang w:eastAsia="es-ES"/>
        </w:rPr>
        <w:t>ampliar el contenido de dicho principio</w:t>
      </w:r>
      <w:r w:rsidR="00CA491F" w:rsidRPr="00F868F4">
        <w:rPr>
          <w:bCs/>
          <w:sz w:val="28"/>
          <w:szCs w:val="28"/>
          <w:lang w:eastAsia="es-ES"/>
        </w:rPr>
        <w:t>.</w:t>
      </w:r>
    </w:p>
    <w:p w14:paraId="435B6FDB" w14:textId="41DE3D1A" w:rsidR="0089374E" w:rsidRPr="00F868F4" w:rsidRDefault="00A25065" w:rsidP="00695A90">
      <w:pPr>
        <w:pStyle w:val="Prrafo"/>
        <w:numPr>
          <w:ilvl w:val="0"/>
          <w:numId w:val="1"/>
        </w:numPr>
        <w:ind w:left="0" w:hanging="567"/>
        <w:rPr>
          <w:sz w:val="28"/>
          <w:szCs w:val="28"/>
        </w:rPr>
      </w:pPr>
      <w:r w:rsidRPr="00F868F4">
        <w:rPr>
          <w:sz w:val="28"/>
          <w:szCs w:val="28"/>
        </w:rPr>
        <w:t>A partir de una interpretación de los artículos 1o., párrafos primero y tercero, 4o.</w:t>
      </w:r>
      <w:r w:rsidR="004961BD" w:rsidRPr="00F868F4">
        <w:rPr>
          <w:sz w:val="28"/>
          <w:szCs w:val="28"/>
        </w:rPr>
        <w:t xml:space="preserve">, primer párrafo, y 41, fracción I, de la Constitución, en relación con diversos preceptos </w:t>
      </w:r>
      <w:r w:rsidR="00975126" w:rsidRPr="00F868F4">
        <w:rPr>
          <w:sz w:val="28"/>
          <w:szCs w:val="28"/>
        </w:rPr>
        <w:t>convencionales</w:t>
      </w:r>
      <w:r w:rsidR="004351EA" w:rsidRPr="00F868F4">
        <w:rPr>
          <w:rStyle w:val="Refdenotaalpie"/>
          <w:sz w:val="28"/>
          <w:szCs w:val="28"/>
        </w:rPr>
        <w:footnoteReference w:id="66"/>
      </w:r>
      <w:r w:rsidR="004961BD" w:rsidRPr="00F868F4">
        <w:rPr>
          <w:sz w:val="28"/>
          <w:szCs w:val="28"/>
        </w:rPr>
        <w:t xml:space="preserve">, </w:t>
      </w:r>
      <w:r w:rsidR="001157E7" w:rsidRPr="00F868F4">
        <w:rPr>
          <w:sz w:val="28"/>
          <w:szCs w:val="28"/>
        </w:rPr>
        <w:t xml:space="preserve">señaló que en la configuración de cargos de elección popular impera una obligación de observar el </w:t>
      </w:r>
      <w:r w:rsidR="001157E7" w:rsidRPr="00F868F4">
        <w:rPr>
          <w:sz w:val="28"/>
          <w:szCs w:val="28"/>
        </w:rPr>
        <w:lastRenderedPageBreak/>
        <w:t xml:space="preserve">principio de paridad de género, lo que provoca instrumentar mecanismos para reducir las desigualdades entre las mujeres y los hombres; y, fundamentalmente, para lograr una participación plena y efectiva de aquéllas en todos los ámbitos en los que se desarrolla el servicio público. </w:t>
      </w:r>
      <w:r w:rsidR="003E7A30" w:rsidRPr="00F868F4">
        <w:rPr>
          <w:sz w:val="28"/>
          <w:szCs w:val="28"/>
        </w:rPr>
        <w:t xml:space="preserve">Asimismo, </w:t>
      </w:r>
      <w:r w:rsidR="00C43BFE" w:rsidRPr="00F868F4">
        <w:rPr>
          <w:sz w:val="28"/>
          <w:szCs w:val="28"/>
        </w:rPr>
        <w:t xml:space="preserve">se precisó </w:t>
      </w:r>
      <w:r w:rsidR="003E7A30" w:rsidRPr="00F868F4">
        <w:rPr>
          <w:sz w:val="28"/>
          <w:szCs w:val="28"/>
        </w:rPr>
        <w:t xml:space="preserve">que </w:t>
      </w:r>
      <w:r w:rsidR="00C43BFE" w:rsidRPr="00F868F4">
        <w:rPr>
          <w:sz w:val="28"/>
          <w:szCs w:val="28"/>
        </w:rPr>
        <w:t xml:space="preserve">la garantía del principio de paridad de género en la conformación de los Ayuntamientos implica </w:t>
      </w:r>
      <w:r w:rsidR="00DF2EA6" w:rsidRPr="00F868F4">
        <w:rPr>
          <w:sz w:val="28"/>
          <w:szCs w:val="28"/>
        </w:rPr>
        <w:t>que</w:t>
      </w:r>
      <w:r w:rsidR="00C32B23" w:rsidRPr="00F868F4">
        <w:rPr>
          <w:sz w:val="28"/>
          <w:szCs w:val="28"/>
        </w:rPr>
        <w:t xml:space="preserve"> en las postulaciones</w:t>
      </w:r>
      <w:r w:rsidR="00DF2EA6" w:rsidRPr="00F868F4">
        <w:rPr>
          <w:sz w:val="28"/>
          <w:szCs w:val="28"/>
        </w:rPr>
        <w:t xml:space="preserve"> se observe tanto en una dimensión vertical</w:t>
      </w:r>
      <w:r w:rsidR="00CA6683" w:rsidRPr="00F868F4">
        <w:rPr>
          <w:sz w:val="28"/>
          <w:szCs w:val="28"/>
        </w:rPr>
        <w:t xml:space="preserve"> (al interior de cada planilla)</w:t>
      </w:r>
      <w:r w:rsidR="00DF2EA6" w:rsidRPr="00F868F4">
        <w:rPr>
          <w:sz w:val="28"/>
          <w:szCs w:val="28"/>
        </w:rPr>
        <w:t xml:space="preserve"> como en una horizontal</w:t>
      </w:r>
      <w:r w:rsidR="00CA6683" w:rsidRPr="00F868F4">
        <w:rPr>
          <w:sz w:val="28"/>
          <w:szCs w:val="28"/>
        </w:rPr>
        <w:t xml:space="preserve"> (</w:t>
      </w:r>
      <w:r w:rsidR="00442113" w:rsidRPr="00F868F4">
        <w:rPr>
          <w:sz w:val="28"/>
          <w:szCs w:val="28"/>
        </w:rPr>
        <w:t xml:space="preserve">postulación paritaria de mujeres y hombres a las presidencias </w:t>
      </w:r>
      <w:r w:rsidR="00014C73" w:rsidRPr="00F868F4">
        <w:rPr>
          <w:sz w:val="28"/>
          <w:szCs w:val="28"/>
        </w:rPr>
        <w:t>municipales que se renueven simultáneamente en el mismo estado)</w:t>
      </w:r>
      <w:r w:rsidR="00CF153F" w:rsidRPr="00F868F4">
        <w:rPr>
          <w:rStyle w:val="Refdenotaalpie"/>
          <w:sz w:val="28"/>
          <w:szCs w:val="28"/>
        </w:rPr>
        <w:footnoteReference w:id="67"/>
      </w:r>
      <w:r w:rsidR="00DF2EA6" w:rsidRPr="00F868F4">
        <w:rPr>
          <w:sz w:val="28"/>
          <w:szCs w:val="28"/>
        </w:rPr>
        <w:t>.</w:t>
      </w:r>
      <w:r w:rsidR="00C43BFE" w:rsidRPr="00F868F4">
        <w:rPr>
          <w:sz w:val="28"/>
          <w:szCs w:val="28"/>
        </w:rPr>
        <w:t xml:space="preserve"> </w:t>
      </w:r>
    </w:p>
    <w:p w14:paraId="03A3F9C2" w14:textId="101A1F83" w:rsidR="00311B75" w:rsidRPr="00F868F4" w:rsidRDefault="00494C42" w:rsidP="00E469EE">
      <w:pPr>
        <w:pStyle w:val="Prrafo"/>
        <w:numPr>
          <w:ilvl w:val="0"/>
          <w:numId w:val="1"/>
        </w:numPr>
        <w:ind w:left="0" w:hanging="567"/>
        <w:rPr>
          <w:color w:val="000000" w:themeColor="text1"/>
          <w:sz w:val="28"/>
          <w:szCs w:val="28"/>
        </w:rPr>
      </w:pPr>
      <w:r w:rsidRPr="00F868F4">
        <w:rPr>
          <w:color w:val="000000" w:themeColor="text1"/>
          <w:sz w:val="28"/>
          <w:szCs w:val="28"/>
        </w:rPr>
        <w:t xml:space="preserve">Por otra parte, </w:t>
      </w:r>
      <w:r w:rsidRPr="00F868F4">
        <w:rPr>
          <w:b/>
          <w:bCs/>
          <w:color w:val="000000" w:themeColor="text1"/>
          <w:sz w:val="28"/>
          <w:szCs w:val="28"/>
        </w:rPr>
        <w:t>en la acción de inconstitucionalidad 140/2020 y su acumulada 145/2020</w:t>
      </w:r>
      <w:r w:rsidR="00BB0F7C" w:rsidRPr="00F868F4">
        <w:rPr>
          <w:rStyle w:val="Refdenotaalpie"/>
          <w:color w:val="000000" w:themeColor="text1"/>
          <w:sz w:val="28"/>
          <w:szCs w:val="28"/>
        </w:rPr>
        <w:footnoteReference w:id="68"/>
      </w:r>
      <w:r w:rsidRPr="00F868F4">
        <w:rPr>
          <w:color w:val="000000" w:themeColor="text1"/>
          <w:sz w:val="28"/>
          <w:szCs w:val="28"/>
        </w:rPr>
        <w:t>,</w:t>
      </w:r>
      <w:r w:rsidR="005C628C" w:rsidRPr="00F868F4">
        <w:rPr>
          <w:color w:val="000000" w:themeColor="text1"/>
          <w:sz w:val="28"/>
          <w:szCs w:val="28"/>
        </w:rPr>
        <w:t xml:space="preserve"> esta Suprema Corte analizó un </w:t>
      </w:r>
      <w:r w:rsidR="00BF1795" w:rsidRPr="00F868F4">
        <w:rPr>
          <w:color w:val="000000" w:themeColor="text1"/>
          <w:sz w:val="28"/>
          <w:szCs w:val="28"/>
        </w:rPr>
        <w:t>reclamo</w:t>
      </w:r>
      <w:r w:rsidR="005C628C" w:rsidRPr="00F868F4">
        <w:rPr>
          <w:color w:val="000000" w:themeColor="text1"/>
          <w:sz w:val="28"/>
          <w:szCs w:val="28"/>
        </w:rPr>
        <w:t xml:space="preserve"> </w:t>
      </w:r>
      <w:r w:rsidR="000235FE" w:rsidRPr="00F868F4">
        <w:rPr>
          <w:color w:val="000000" w:themeColor="text1"/>
          <w:sz w:val="28"/>
          <w:szCs w:val="28"/>
        </w:rPr>
        <w:t>sobre</w:t>
      </w:r>
      <w:r w:rsidR="0047520A" w:rsidRPr="00F868F4">
        <w:rPr>
          <w:color w:val="000000" w:themeColor="text1"/>
          <w:sz w:val="28"/>
          <w:szCs w:val="28"/>
        </w:rPr>
        <w:t xml:space="preserve"> </w:t>
      </w:r>
      <w:r w:rsidR="00BF1795" w:rsidRPr="00F868F4">
        <w:rPr>
          <w:color w:val="000000" w:themeColor="text1"/>
          <w:sz w:val="28"/>
          <w:szCs w:val="28"/>
        </w:rPr>
        <w:t>la</w:t>
      </w:r>
      <w:r w:rsidR="0047520A" w:rsidRPr="00F868F4">
        <w:rPr>
          <w:color w:val="000000" w:themeColor="text1"/>
          <w:sz w:val="28"/>
          <w:szCs w:val="28"/>
        </w:rPr>
        <w:t xml:space="preserve"> </w:t>
      </w:r>
      <w:r w:rsidR="00BF1795" w:rsidRPr="00F868F4">
        <w:rPr>
          <w:color w:val="000000" w:themeColor="text1"/>
          <w:sz w:val="28"/>
          <w:szCs w:val="28"/>
        </w:rPr>
        <w:t>supuesta</w:t>
      </w:r>
      <w:r w:rsidR="0047520A" w:rsidRPr="00F868F4">
        <w:rPr>
          <w:color w:val="000000" w:themeColor="text1"/>
          <w:sz w:val="28"/>
          <w:szCs w:val="28"/>
        </w:rPr>
        <w:t xml:space="preserve"> regulación</w:t>
      </w:r>
      <w:r w:rsidR="00BF1795" w:rsidRPr="00F868F4">
        <w:rPr>
          <w:color w:val="000000" w:themeColor="text1"/>
          <w:sz w:val="28"/>
          <w:szCs w:val="28"/>
        </w:rPr>
        <w:t xml:space="preserve"> deficiente</w:t>
      </w:r>
      <w:r w:rsidR="00185C35" w:rsidRPr="00F868F4">
        <w:rPr>
          <w:color w:val="000000" w:themeColor="text1"/>
          <w:sz w:val="28"/>
          <w:szCs w:val="28"/>
        </w:rPr>
        <w:t xml:space="preserve"> en la legislación del estado de Tamaulipas,</w:t>
      </w:r>
      <w:r w:rsidR="0047520A" w:rsidRPr="00F868F4">
        <w:rPr>
          <w:color w:val="000000" w:themeColor="text1"/>
          <w:sz w:val="28"/>
          <w:szCs w:val="28"/>
        </w:rPr>
        <w:t xml:space="preserve"> </w:t>
      </w:r>
      <w:r w:rsidR="00BF1795" w:rsidRPr="00F868F4">
        <w:rPr>
          <w:color w:val="000000" w:themeColor="text1"/>
          <w:sz w:val="28"/>
          <w:szCs w:val="28"/>
        </w:rPr>
        <w:t>derivada de</w:t>
      </w:r>
      <w:r w:rsidR="0047520A" w:rsidRPr="00F868F4">
        <w:rPr>
          <w:color w:val="000000" w:themeColor="text1"/>
          <w:sz w:val="28"/>
          <w:szCs w:val="28"/>
        </w:rPr>
        <w:t xml:space="preserve"> la omisión de establecer que las listas de candidaturas por representación proporcional </w:t>
      </w:r>
      <w:r w:rsidR="00185C35" w:rsidRPr="00F868F4">
        <w:rPr>
          <w:color w:val="000000" w:themeColor="text1"/>
          <w:sz w:val="28"/>
          <w:szCs w:val="28"/>
        </w:rPr>
        <w:t>deben ser</w:t>
      </w:r>
      <w:r w:rsidR="0047520A" w:rsidRPr="00F868F4">
        <w:rPr>
          <w:color w:val="000000" w:themeColor="text1"/>
          <w:sz w:val="28"/>
          <w:szCs w:val="28"/>
        </w:rPr>
        <w:t xml:space="preserve"> encabezadas alternadamente entre mujeres y hombres</w:t>
      </w:r>
      <w:r w:rsidR="00EF289A" w:rsidRPr="00F868F4">
        <w:rPr>
          <w:color w:val="000000" w:themeColor="text1"/>
          <w:sz w:val="28"/>
          <w:szCs w:val="28"/>
        </w:rPr>
        <w:t>,</w:t>
      </w:r>
      <w:r w:rsidR="0047520A" w:rsidRPr="00F868F4">
        <w:rPr>
          <w:color w:val="000000" w:themeColor="text1"/>
          <w:sz w:val="28"/>
          <w:szCs w:val="28"/>
        </w:rPr>
        <w:t xml:space="preserve"> </w:t>
      </w:r>
      <w:r w:rsidR="00EF289A" w:rsidRPr="00F868F4">
        <w:rPr>
          <w:color w:val="000000" w:themeColor="text1"/>
          <w:sz w:val="28"/>
          <w:szCs w:val="28"/>
        </w:rPr>
        <w:t>por</w:t>
      </w:r>
      <w:r w:rsidR="0047520A" w:rsidRPr="00F868F4">
        <w:rPr>
          <w:color w:val="000000" w:themeColor="text1"/>
          <w:sz w:val="28"/>
          <w:szCs w:val="28"/>
        </w:rPr>
        <w:t xml:space="preserve"> periodo electivo.</w:t>
      </w:r>
      <w:r w:rsidR="00E469EE" w:rsidRPr="00F868F4">
        <w:rPr>
          <w:color w:val="000000" w:themeColor="text1"/>
          <w:sz w:val="28"/>
          <w:szCs w:val="28"/>
        </w:rPr>
        <w:t xml:space="preserve"> El caso requirió identificar </w:t>
      </w:r>
      <w:r w:rsidR="003D364C" w:rsidRPr="00F868F4">
        <w:rPr>
          <w:color w:val="000000" w:themeColor="text1"/>
          <w:sz w:val="28"/>
          <w:szCs w:val="28"/>
        </w:rPr>
        <w:t>las principales modificaciones derivadas de la reforma constitucional en materia de paridad de género</w:t>
      </w:r>
      <w:r w:rsidR="00A43F34" w:rsidRPr="00F868F4">
        <w:rPr>
          <w:color w:val="000000" w:themeColor="text1"/>
          <w:sz w:val="28"/>
          <w:szCs w:val="28"/>
        </w:rPr>
        <w:t>, conforme a lo siguiente:</w:t>
      </w:r>
    </w:p>
    <w:p w14:paraId="3BA6AEA6" w14:textId="62EA9D23" w:rsidR="00A43F34" w:rsidRPr="00F868F4" w:rsidRDefault="00A43F34" w:rsidP="00A43F34">
      <w:pPr>
        <w:pStyle w:val="Prrafo"/>
        <w:numPr>
          <w:ilvl w:val="0"/>
          <w:numId w:val="17"/>
        </w:numPr>
        <w:spacing w:line="240" w:lineRule="auto"/>
        <w:rPr>
          <w:color w:val="000000" w:themeColor="text1"/>
          <w:sz w:val="28"/>
          <w:szCs w:val="28"/>
        </w:rPr>
      </w:pPr>
      <w:r w:rsidRPr="00F868F4">
        <w:rPr>
          <w:color w:val="000000" w:themeColor="text1"/>
          <w:sz w:val="28"/>
          <w:szCs w:val="28"/>
        </w:rPr>
        <w:t>La incorporación de un lenguaje incluyente;</w:t>
      </w:r>
    </w:p>
    <w:p w14:paraId="3E391E2D" w14:textId="77777777" w:rsidR="00C56441" w:rsidRPr="00F868F4" w:rsidRDefault="00A43F34" w:rsidP="00C56441">
      <w:pPr>
        <w:pStyle w:val="Prrafo"/>
        <w:numPr>
          <w:ilvl w:val="0"/>
          <w:numId w:val="17"/>
        </w:numPr>
        <w:spacing w:line="240" w:lineRule="auto"/>
        <w:rPr>
          <w:color w:val="000000" w:themeColor="text1"/>
          <w:sz w:val="28"/>
          <w:szCs w:val="28"/>
        </w:rPr>
      </w:pPr>
      <w:r w:rsidRPr="00F868F4">
        <w:rPr>
          <w:color w:val="000000" w:themeColor="text1"/>
          <w:sz w:val="28"/>
          <w:szCs w:val="28"/>
        </w:rPr>
        <w:t xml:space="preserve">La obligación de observar el principio de paridad de género </w:t>
      </w:r>
      <w:r w:rsidR="00C56441" w:rsidRPr="00F868F4">
        <w:rPr>
          <w:color w:val="000000" w:themeColor="text1"/>
          <w:sz w:val="28"/>
          <w:szCs w:val="28"/>
        </w:rPr>
        <w:t xml:space="preserve">en la elección de representantes ante los ayuntamientos, en los </w:t>
      </w:r>
      <w:r w:rsidR="00C56441" w:rsidRPr="00F868F4">
        <w:rPr>
          <w:color w:val="000000" w:themeColor="text1"/>
          <w:sz w:val="28"/>
          <w:szCs w:val="28"/>
        </w:rPr>
        <w:lastRenderedPageBreak/>
        <w:t>municipios con población indígena (artículo 2, apartado A, fracción VII);</w:t>
      </w:r>
    </w:p>
    <w:p w14:paraId="5ADEFA90" w14:textId="1B6404CB" w:rsidR="00F96A3D" w:rsidRPr="00F868F4" w:rsidRDefault="00F96A3D" w:rsidP="00F96A3D">
      <w:pPr>
        <w:pStyle w:val="Prrafo"/>
        <w:numPr>
          <w:ilvl w:val="0"/>
          <w:numId w:val="17"/>
        </w:numPr>
        <w:spacing w:line="240" w:lineRule="auto"/>
        <w:rPr>
          <w:color w:val="000000" w:themeColor="text1"/>
          <w:sz w:val="28"/>
          <w:szCs w:val="28"/>
        </w:rPr>
      </w:pPr>
      <w:r w:rsidRPr="00F868F4">
        <w:rPr>
          <w:color w:val="000000" w:themeColor="text1"/>
          <w:sz w:val="28"/>
          <w:szCs w:val="28"/>
        </w:rPr>
        <w:t>La e</w:t>
      </w:r>
      <w:r w:rsidR="00C56441" w:rsidRPr="00F868F4">
        <w:rPr>
          <w:color w:val="000000" w:themeColor="text1"/>
          <w:sz w:val="28"/>
          <w:szCs w:val="28"/>
        </w:rPr>
        <w:t xml:space="preserve">xplicitación de que el derecho a ser votado se </w:t>
      </w:r>
      <w:r w:rsidR="003E5F1D" w:rsidRPr="00F868F4">
        <w:rPr>
          <w:color w:val="000000" w:themeColor="text1"/>
          <w:sz w:val="28"/>
          <w:szCs w:val="28"/>
        </w:rPr>
        <w:t>ejercerá</w:t>
      </w:r>
      <w:r w:rsidR="00C56441" w:rsidRPr="00F868F4">
        <w:rPr>
          <w:color w:val="000000" w:themeColor="text1"/>
          <w:sz w:val="28"/>
          <w:szCs w:val="28"/>
        </w:rPr>
        <w:t xml:space="preserve"> en condiciones de paridad</w:t>
      </w:r>
      <w:r w:rsidRPr="00F868F4">
        <w:rPr>
          <w:color w:val="000000" w:themeColor="text1"/>
          <w:sz w:val="28"/>
          <w:szCs w:val="28"/>
        </w:rPr>
        <w:t xml:space="preserve">, para todos los cargos de elección popular </w:t>
      </w:r>
      <w:r w:rsidR="00C56441" w:rsidRPr="00F868F4">
        <w:rPr>
          <w:color w:val="000000" w:themeColor="text1"/>
          <w:sz w:val="28"/>
          <w:szCs w:val="28"/>
        </w:rPr>
        <w:t>(artículo 31, fracción II)</w:t>
      </w:r>
      <w:r w:rsidR="003E5F1D" w:rsidRPr="00F868F4">
        <w:rPr>
          <w:color w:val="000000" w:themeColor="text1"/>
          <w:sz w:val="28"/>
          <w:szCs w:val="28"/>
        </w:rPr>
        <w:t>;</w:t>
      </w:r>
    </w:p>
    <w:p w14:paraId="56AA176B" w14:textId="77777777" w:rsidR="00C47B76" w:rsidRPr="00F868F4" w:rsidRDefault="00F96A3D" w:rsidP="00C47B76">
      <w:pPr>
        <w:pStyle w:val="Prrafo"/>
        <w:numPr>
          <w:ilvl w:val="0"/>
          <w:numId w:val="17"/>
        </w:numPr>
        <w:spacing w:line="240" w:lineRule="auto"/>
        <w:rPr>
          <w:color w:val="000000" w:themeColor="text1"/>
          <w:sz w:val="28"/>
          <w:szCs w:val="28"/>
        </w:rPr>
      </w:pPr>
      <w:r w:rsidRPr="00F868F4">
        <w:rPr>
          <w:color w:val="000000" w:themeColor="text1"/>
          <w:sz w:val="28"/>
          <w:szCs w:val="28"/>
        </w:rPr>
        <w:t>La o</w:t>
      </w:r>
      <w:r w:rsidR="00C56441" w:rsidRPr="00F868F4">
        <w:rPr>
          <w:color w:val="000000" w:themeColor="text1"/>
          <w:sz w:val="28"/>
          <w:szCs w:val="28"/>
        </w:rPr>
        <w:t>bligación de observar el principio de paridad de género en los nombramientos de los titulares de las secretarías de despacho de los Poderes Ejecutivos</w:t>
      </w:r>
      <w:r w:rsidR="00C47B76" w:rsidRPr="00F868F4">
        <w:rPr>
          <w:color w:val="000000" w:themeColor="text1"/>
          <w:sz w:val="28"/>
          <w:szCs w:val="28"/>
        </w:rPr>
        <w:t>, tanto</w:t>
      </w:r>
      <w:r w:rsidR="00C56441" w:rsidRPr="00F868F4">
        <w:rPr>
          <w:color w:val="000000" w:themeColor="text1"/>
          <w:sz w:val="28"/>
          <w:szCs w:val="28"/>
        </w:rPr>
        <w:t xml:space="preserve"> de la Federación </w:t>
      </w:r>
      <w:r w:rsidR="00C47B76" w:rsidRPr="00F868F4">
        <w:rPr>
          <w:color w:val="000000" w:themeColor="text1"/>
          <w:sz w:val="28"/>
          <w:szCs w:val="28"/>
        </w:rPr>
        <w:t>como</w:t>
      </w:r>
      <w:r w:rsidR="00C56441" w:rsidRPr="00F868F4">
        <w:rPr>
          <w:color w:val="000000" w:themeColor="text1"/>
          <w:sz w:val="28"/>
          <w:szCs w:val="28"/>
        </w:rPr>
        <w:t xml:space="preserve"> de las entidades federativas (artículo 41, párrafo segundo)</w:t>
      </w:r>
      <w:r w:rsidR="00C47B76" w:rsidRPr="00F868F4">
        <w:rPr>
          <w:color w:val="000000" w:themeColor="text1"/>
          <w:sz w:val="28"/>
          <w:szCs w:val="28"/>
        </w:rPr>
        <w:t>;</w:t>
      </w:r>
    </w:p>
    <w:p w14:paraId="5D66E201" w14:textId="4BA3DDED" w:rsidR="00C56441" w:rsidRPr="00F868F4" w:rsidRDefault="00C47B76" w:rsidP="00C47B76">
      <w:pPr>
        <w:pStyle w:val="Prrafo"/>
        <w:numPr>
          <w:ilvl w:val="0"/>
          <w:numId w:val="17"/>
        </w:numPr>
        <w:spacing w:line="240" w:lineRule="auto"/>
        <w:rPr>
          <w:color w:val="000000" w:themeColor="text1"/>
          <w:sz w:val="28"/>
          <w:szCs w:val="28"/>
        </w:rPr>
      </w:pPr>
      <w:r w:rsidRPr="00F868F4">
        <w:rPr>
          <w:color w:val="000000" w:themeColor="text1"/>
          <w:sz w:val="28"/>
          <w:szCs w:val="28"/>
        </w:rPr>
        <w:t>La o</w:t>
      </w:r>
      <w:r w:rsidR="00C56441" w:rsidRPr="00F868F4">
        <w:rPr>
          <w:color w:val="000000" w:themeColor="text1"/>
          <w:sz w:val="28"/>
          <w:szCs w:val="28"/>
        </w:rPr>
        <w:t>bligación de observar el principio de paridad de género en la integración de los organismos autónomos (artículo 41, párrafo segundo)</w:t>
      </w:r>
      <w:r w:rsidRPr="00F868F4">
        <w:rPr>
          <w:color w:val="000000" w:themeColor="text1"/>
          <w:sz w:val="28"/>
          <w:szCs w:val="28"/>
        </w:rPr>
        <w:t>;</w:t>
      </w:r>
    </w:p>
    <w:p w14:paraId="33293A9C" w14:textId="77777777" w:rsidR="00F13E18" w:rsidRPr="00F868F4" w:rsidRDefault="00C47B76" w:rsidP="00F13E18">
      <w:pPr>
        <w:pStyle w:val="Prrafo"/>
        <w:numPr>
          <w:ilvl w:val="0"/>
          <w:numId w:val="17"/>
        </w:numPr>
        <w:spacing w:line="240" w:lineRule="auto"/>
        <w:rPr>
          <w:color w:val="000000" w:themeColor="text1"/>
          <w:sz w:val="28"/>
          <w:szCs w:val="28"/>
        </w:rPr>
      </w:pPr>
      <w:r w:rsidRPr="00F868F4">
        <w:rPr>
          <w:color w:val="000000" w:themeColor="text1"/>
          <w:sz w:val="28"/>
          <w:szCs w:val="28"/>
        </w:rPr>
        <w:t>La o</w:t>
      </w:r>
      <w:r w:rsidR="00C56441" w:rsidRPr="00F868F4">
        <w:rPr>
          <w:color w:val="000000" w:themeColor="text1"/>
          <w:sz w:val="28"/>
          <w:szCs w:val="28"/>
        </w:rPr>
        <w:t>bligación de los partidos políticos de</w:t>
      </w:r>
      <w:r w:rsidR="00B54C8F" w:rsidRPr="00F868F4">
        <w:rPr>
          <w:color w:val="000000" w:themeColor="text1"/>
          <w:sz w:val="28"/>
          <w:szCs w:val="28"/>
        </w:rPr>
        <w:t xml:space="preserve"> contribuir a la integración de los órganos de representación política, de acuerdo con, entre otros, </w:t>
      </w:r>
      <w:r w:rsidR="00F13E18" w:rsidRPr="00F868F4">
        <w:rPr>
          <w:color w:val="000000" w:themeColor="text1"/>
          <w:sz w:val="28"/>
          <w:szCs w:val="28"/>
        </w:rPr>
        <w:t xml:space="preserve">las reglas que marque la ley electoral para garantizar la paridad de género en las candidaturas a los distintos cargos de elección popular </w:t>
      </w:r>
      <w:r w:rsidR="00C56441" w:rsidRPr="00F868F4">
        <w:rPr>
          <w:color w:val="000000" w:themeColor="text1"/>
          <w:sz w:val="28"/>
          <w:szCs w:val="28"/>
        </w:rPr>
        <w:t>(artículo 41, párrafo tercero, fracción I)</w:t>
      </w:r>
      <w:r w:rsidR="00F13E18" w:rsidRPr="00F868F4">
        <w:rPr>
          <w:color w:val="000000" w:themeColor="text1"/>
          <w:sz w:val="28"/>
          <w:szCs w:val="28"/>
        </w:rPr>
        <w:t>;</w:t>
      </w:r>
    </w:p>
    <w:p w14:paraId="24BEFDA9" w14:textId="77777777" w:rsidR="005D2005" w:rsidRPr="00F868F4" w:rsidRDefault="00C56441" w:rsidP="005D2005">
      <w:pPr>
        <w:pStyle w:val="Prrafo"/>
        <w:numPr>
          <w:ilvl w:val="0"/>
          <w:numId w:val="17"/>
        </w:numPr>
        <w:spacing w:line="240" w:lineRule="auto"/>
        <w:rPr>
          <w:color w:val="000000" w:themeColor="text1"/>
          <w:sz w:val="28"/>
          <w:szCs w:val="28"/>
        </w:rPr>
      </w:pPr>
      <w:r w:rsidRPr="00F868F4">
        <w:rPr>
          <w:color w:val="000000" w:themeColor="text1"/>
          <w:sz w:val="28"/>
          <w:szCs w:val="28"/>
        </w:rPr>
        <w:t>En la elección de diputaciones federales y senadurías por representación proporcional, las listas respectivas deberán conformarse de acuerdo con el principio de paridad de género, siendo encabezadas alternadamente entre mujeres y hombres cada periodo electivo (artículos 53, 54 y 56)</w:t>
      </w:r>
      <w:r w:rsidR="005D2005" w:rsidRPr="00F868F4">
        <w:rPr>
          <w:color w:val="000000" w:themeColor="text1"/>
          <w:sz w:val="28"/>
          <w:szCs w:val="28"/>
        </w:rPr>
        <w:t>;</w:t>
      </w:r>
    </w:p>
    <w:p w14:paraId="7A474139" w14:textId="124C9B77" w:rsidR="005D2005" w:rsidRPr="00F868F4" w:rsidRDefault="005D2005" w:rsidP="005D2005">
      <w:pPr>
        <w:pStyle w:val="Prrafo"/>
        <w:numPr>
          <w:ilvl w:val="0"/>
          <w:numId w:val="17"/>
        </w:numPr>
        <w:spacing w:line="240" w:lineRule="auto"/>
        <w:rPr>
          <w:color w:val="000000" w:themeColor="text1"/>
          <w:sz w:val="28"/>
          <w:szCs w:val="28"/>
        </w:rPr>
      </w:pPr>
      <w:r w:rsidRPr="00F868F4">
        <w:rPr>
          <w:color w:val="000000" w:themeColor="text1"/>
          <w:sz w:val="28"/>
          <w:szCs w:val="28"/>
        </w:rPr>
        <w:t>La o</w:t>
      </w:r>
      <w:r w:rsidR="00C56441" w:rsidRPr="00F868F4">
        <w:rPr>
          <w:color w:val="000000" w:themeColor="text1"/>
          <w:sz w:val="28"/>
          <w:szCs w:val="28"/>
        </w:rPr>
        <w:t>bligación de establecer en ley la forma y procedimientos mediante concursos abiertos para la integración de los órganos jurisdiccionales, en los que se deberá observarse el principio de paridad de género (artículo 94, párrafo octavo)</w:t>
      </w:r>
      <w:r w:rsidR="00F232C2" w:rsidRPr="00F868F4">
        <w:rPr>
          <w:color w:val="000000" w:themeColor="text1"/>
          <w:sz w:val="28"/>
          <w:szCs w:val="28"/>
        </w:rPr>
        <w:t>;</w:t>
      </w:r>
    </w:p>
    <w:p w14:paraId="2C54D1FA" w14:textId="77777777" w:rsidR="00F232C2" w:rsidRPr="00F868F4" w:rsidRDefault="00C56441" w:rsidP="00C56441">
      <w:pPr>
        <w:pStyle w:val="Prrafo"/>
        <w:numPr>
          <w:ilvl w:val="0"/>
          <w:numId w:val="17"/>
        </w:numPr>
        <w:spacing w:line="240" w:lineRule="auto"/>
        <w:rPr>
          <w:color w:val="000000" w:themeColor="text1"/>
          <w:sz w:val="28"/>
          <w:szCs w:val="28"/>
        </w:rPr>
      </w:pPr>
      <w:r w:rsidRPr="00F868F4">
        <w:rPr>
          <w:color w:val="000000" w:themeColor="text1"/>
          <w:sz w:val="28"/>
          <w:szCs w:val="28"/>
        </w:rPr>
        <w:t>Los ayuntamientos deberán integrarse, por lo que hace a la presidencia, regidurías y sindicaturas, de conformidad con el principio de paridad de género (artículo 115, fracción I)</w:t>
      </w:r>
      <w:r w:rsidR="00F232C2" w:rsidRPr="00F868F4">
        <w:rPr>
          <w:color w:val="000000" w:themeColor="text1"/>
          <w:sz w:val="28"/>
          <w:szCs w:val="28"/>
        </w:rPr>
        <w:t>, y</w:t>
      </w:r>
    </w:p>
    <w:p w14:paraId="61AE6E47" w14:textId="5E9026CB" w:rsidR="00C56441" w:rsidRPr="00F868F4" w:rsidRDefault="00F232C2" w:rsidP="00C56441">
      <w:pPr>
        <w:pStyle w:val="Prrafo"/>
        <w:numPr>
          <w:ilvl w:val="0"/>
          <w:numId w:val="17"/>
        </w:numPr>
        <w:spacing w:line="240" w:lineRule="auto"/>
        <w:rPr>
          <w:color w:val="000000" w:themeColor="text1"/>
          <w:sz w:val="28"/>
          <w:szCs w:val="28"/>
        </w:rPr>
      </w:pPr>
      <w:r w:rsidRPr="00F868F4">
        <w:rPr>
          <w:color w:val="000000" w:themeColor="text1"/>
          <w:sz w:val="28"/>
          <w:szCs w:val="28"/>
        </w:rPr>
        <w:t>La o</w:t>
      </w:r>
      <w:r w:rsidR="00C56441" w:rsidRPr="00F868F4">
        <w:rPr>
          <w:color w:val="000000" w:themeColor="text1"/>
          <w:sz w:val="28"/>
          <w:szCs w:val="28"/>
        </w:rPr>
        <w:t>bligación del Congreso de la Unión y de las legislaturas de las entidades federativas de realizar las adecuaciones o reformas normativas correspondientes para efecto de observar el principio de paridad de género en los términos del artículo 41 constitucional, por lo que hace a las entidades federativas, y en los términos del artículo 41, en su segundo párrafo, por lo que hace a la Federación (artículos segundo y cuarto transitorios).</w:t>
      </w:r>
    </w:p>
    <w:p w14:paraId="6C4A0833" w14:textId="0FE2DDE6" w:rsidR="00917ACF" w:rsidRPr="00F868F4" w:rsidRDefault="006B07D2">
      <w:pPr>
        <w:pStyle w:val="Prrafo"/>
        <w:numPr>
          <w:ilvl w:val="0"/>
          <w:numId w:val="1"/>
        </w:numPr>
        <w:ind w:left="0" w:hanging="567"/>
        <w:rPr>
          <w:sz w:val="28"/>
          <w:szCs w:val="28"/>
        </w:rPr>
      </w:pPr>
      <w:r w:rsidRPr="00F868F4">
        <w:rPr>
          <w:sz w:val="28"/>
          <w:szCs w:val="28"/>
        </w:rPr>
        <w:lastRenderedPageBreak/>
        <w:t>En el precedente se dio cuenta del</w:t>
      </w:r>
      <w:r w:rsidR="00BC7FC6" w:rsidRPr="00F868F4">
        <w:rPr>
          <w:sz w:val="28"/>
          <w:szCs w:val="28"/>
        </w:rPr>
        <w:t xml:space="preserve"> cumplimiento a la reforma constitucional, </w:t>
      </w:r>
      <w:r w:rsidRPr="00F868F4">
        <w:rPr>
          <w:sz w:val="28"/>
          <w:szCs w:val="28"/>
        </w:rPr>
        <w:t>a través de</w:t>
      </w:r>
      <w:r w:rsidR="00BC7FC6" w:rsidRPr="00F868F4">
        <w:rPr>
          <w:sz w:val="28"/>
          <w:szCs w:val="28"/>
        </w:rPr>
        <w:t xml:space="preserve"> un decreto</w:t>
      </w:r>
      <w:r w:rsidR="003B31D8" w:rsidRPr="00F868F4">
        <w:rPr>
          <w:sz w:val="28"/>
          <w:szCs w:val="28"/>
        </w:rPr>
        <w:t xml:space="preserve"> de reforma de la Ley General de Instituciones y Procedimientos Electorales y de la Ley General de Partidos Políticos, </w:t>
      </w:r>
      <w:r w:rsidR="00F722BF" w:rsidRPr="00F868F4">
        <w:rPr>
          <w:sz w:val="28"/>
          <w:szCs w:val="28"/>
        </w:rPr>
        <w:t>publicado el trece de abril de dos mil veinte</w:t>
      </w:r>
      <w:r w:rsidRPr="00F868F4">
        <w:rPr>
          <w:sz w:val="28"/>
          <w:szCs w:val="28"/>
        </w:rPr>
        <w:t>, por el que se adecuaron aspectos como la incorporación transversal de un lenguaje incluyente, la regulación de la violencia política contra las mujeres por razón de género, así como la precisión y desarrollo de las reglas para implementar el principio de paridad.</w:t>
      </w:r>
    </w:p>
    <w:p w14:paraId="5F288D63" w14:textId="4C5946DD" w:rsidR="001057BB" w:rsidRPr="00F868F4" w:rsidRDefault="00153426" w:rsidP="00461B6B">
      <w:pPr>
        <w:pStyle w:val="Prrafo"/>
        <w:numPr>
          <w:ilvl w:val="0"/>
          <w:numId w:val="1"/>
        </w:numPr>
        <w:ind w:left="0" w:hanging="567"/>
        <w:rPr>
          <w:sz w:val="28"/>
          <w:szCs w:val="28"/>
        </w:rPr>
      </w:pPr>
      <w:r w:rsidRPr="00F868F4">
        <w:rPr>
          <w:sz w:val="28"/>
          <w:szCs w:val="28"/>
        </w:rPr>
        <w:t xml:space="preserve">Con base en </w:t>
      </w:r>
      <w:r w:rsidR="00F56D1C" w:rsidRPr="00F868F4">
        <w:rPr>
          <w:sz w:val="28"/>
          <w:szCs w:val="28"/>
        </w:rPr>
        <w:t xml:space="preserve">las normas </w:t>
      </w:r>
      <w:r w:rsidR="00EA3204" w:rsidRPr="00F868F4">
        <w:rPr>
          <w:sz w:val="28"/>
          <w:szCs w:val="28"/>
        </w:rPr>
        <w:t>constitucionales, convencionales y legales en la materia,</w:t>
      </w:r>
      <w:r w:rsidR="00905A61" w:rsidRPr="00F868F4">
        <w:rPr>
          <w:sz w:val="28"/>
          <w:szCs w:val="28"/>
        </w:rPr>
        <w:t xml:space="preserve"> </w:t>
      </w:r>
      <w:r w:rsidR="003A7B02" w:rsidRPr="00F868F4">
        <w:rPr>
          <w:sz w:val="28"/>
          <w:szCs w:val="28"/>
        </w:rPr>
        <w:t>a partir de</w:t>
      </w:r>
      <w:r w:rsidR="00905A61" w:rsidRPr="00F868F4">
        <w:rPr>
          <w:sz w:val="28"/>
          <w:szCs w:val="28"/>
        </w:rPr>
        <w:t xml:space="preserve"> una reinte</w:t>
      </w:r>
      <w:r w:rsidR="00360975" w:rsidRPr="00F868F4">
        <w:rPr>
          <w:sz w:val="28"/>
          <w:szCs w:val="28"/>
        </w:rPr>
        <w:t>rpretación de sus precedentes,</w:t>
      </w:r>
      <w:r w:rsidR="00EA3204" w:rsidRPr="00F868F4">
        <w:rPr>
          <w:sz w:val="28"/>
          <w:szCs w:val="28"/>
        </w:rPr>
        <w:t xml:space="preserve"> este Tribunal Pleno identificó </w:t>
      </w:r>
      <w:r w:rsidR="00360E03" w:rsidRPr="00F868F4">
        <w:rPr>
          <w:sz w:val="28"/>
          <w:szCs w:val="28"/>
        </w:rPr>
        <w:t xml:space="preserve">como </w:t>
      </w:r>
      <w:r w:rsidR="00360E03" w:rsidRPr="00F868F4">
        <w:rPr>
          <w:b/>
          <w:bCs/>
          <w:sz w:val="28"/>
          <w:szCs w:val="28"/>
        </w:rPr>
        <w:t>contenido mínimo del principio de paridad de género</w:t>
      </w:r>
      <w:r w:rsidR="007E7081" w:rsidRPr="00F868F4">
        <w:rPr>
          <w:rStyle w:val="Refdenotaalpie"/>
          <w:sz w:val="28"/>
          <w:szCs w:val="28"/>
        </w:rPr>
        <w:footnoteReference w:id="69"/>
      </w:r>
      <w:r w:rsidR="00360E03" w:rsidRPr="00F868F4">
        <w:rPr>
          <w:sz w:val="28"/>
          <w:szCs w:val="28"/>
        </w:rPr>
        <w:t>:</w:t>
      </w:r>
    </w:p>
    <w:p w14:paraId="0C7968DC" w14:textId="77777777" w:rsidR="00F22FE2" w:rsidRPr="00F868F4" w:rsidRDefault="00F22FE2" w:rsidP="00F22FE2">
      <w:pPr>
        <w:pStyle w:val="Prrafo"/>
        <w:numPr>
          <w:ilvl w:val="0"/>
          <w:numId w:val="19"/>
        </w:numPr>
        <w:spacing w:line="240" w:lineRule="auto"/>
        <w:rPr>
          <w:color w:val="000000" w:themeColor="text1"/>
        </w:rPr>
      </w:pPr>
      <w:r w:rsidRPr="00F868F4">
        <w:t>Es un mandato de rango constitucional que es aplicable tanto en el orden federal como en los órdenes estatales y municipales; es decir, las entidades federativas y la Federación se encuentran igualmente obligadas a cumplir el mandato de paridad de género;</w:t>
      </w:r>
    </w:p>
    <w:p w14:paraId="3BACBD12" w14:textId="77777777" w:rsidR="00F22FE2" w:rsidRPr="00F868F4" w:rsidRDefault="00F22FE2" w:rsidP="00F22FE2">
      <w:pPr>
        <w:pStyle w:val="Prrafo"/>
        <w:numPr>
          <w:ilvl w:val="0"/>
          <w:numId w:val="19"/>
        </w:numPr>
        <w:spacing w:line="240" w:lineRule="auto"/>
        <w:rPr>
          <w:color w:val="000000" w:themeColor="text1"/>
        </w:rPr>
      </w:pPr>
      <w:r w:rsidRPr="00F868F4">
        <w:t>Una de las finalidades del principio de paridad de género es salvaguardar la igualdad jurídica en su modalidad sustantiva y los derechos de las personas a ser votadas y a acceder a los cargos públicos en condiciones de igualdad;</w:t>
      </w:r>
    </w:p>
    <w:p w14:paraId="7AA2F621" w14:textId="49F189D5" w:rsidR="007D7941" w:rsidRPr="00F868F4" w:rsidRDefault="00F22FE2" w:rsidP="007D7941">
      <w:pPr>
        <w:pStyle w:val="Prrafo"/>
        <w:numPr>
          <w:ilvl w:val="0"/>
          <w:numId w:val="19"/>
        </w:numPr>
        <w:spacing w:line="240" w:lineRule="auto"/>
        <w:rPr>
          <w:color w:val="000000" w:themeColor="text1"/>
        </w:rPr>
      </w:pPr>
      <w:r w:rsidRPr="00F868F4">
        <w:t>Sin embargo, la intención del Poder Constituyente</w:t>
      </w:r>
      <w:r w:rsidR="00764AB3" w:rsidRPr="00F868F4">
        <w:t xml:space="preserve"> mediante la reforma de dos mil diecinueve </w:t>
      </w:r>
      <w:r w:rsidRPr="00F868F4">
        <w:rPr>
          <w:b/>
          <w:bCs/>
        </w:rPr>
        <w:t>no se limitó a implementar mecanismos que tiendan a asegurar una determinada presencia cuantitativa del género femenino</w:t>
      </w:r>
      <w:r w:rsidRPr="00F868F4">
        <w:t xml:space="preserve"> o remediar, </w:t>
      </w:r>
      <w:r w:rsidRPr="00F868F4">
        <w:rPr>
          <w:i/>
          <w:iCs/>
        </w:rPr>
        <w:t>de facto</w:t>
      </w:r>
      <w:r w:rsidRPr="00F868F4">
        <w:t xml:space="preserve">, la discriminación estructural existente, sino a generar además una presencia cualitativa de ambos géneros en la arena democrática. </w:t>
      </w:r>
      <w:r w:rsidR="00371564" w:rsidRPr="00F868F4">
        <w:t>L</w:t>
      </w:r>
      <w:r w:rsidRPr="00F868F4">
        <w:t xml:space="preserve">a pretensión de una mayor participación de las mujeres en el plano político y electoral (teniendo como mínimo un plano paritario en todas las postulaciones de candidaturas y en ciertas designaciones) se debe a la importancia que, en sí misma, debe darse a la visión y postura del género femenino en la configuración y aplicabilidad del régimen democrático; a diferencia de la </w:t>
      </w:r>
      <w:r w:rsidRPr="00F868F4">
        <w:lastRenderedPageBreak/>
        <w:t>visión y postura que ha predominado a lo largo de nuestra historia constitucional para, incluso, la configuración normativa de nuestro modelo constitucional, político y electoral</w:t>
      </w:r>
      <w:r w:rsidR="007D7941" w:rsidRPr="00F868F4">
        <w:t>;</w:t>
      </w:r>
    </w:p>
    <w:p w14:paraId="352EBE94" w14:textId="73E738A2" w:rsidR="00F22FE2" w:rsidRPr="00F868F4" w:rsidRDefault="00F22FE2" w:rsidP="007D7941">
      <w:pPr>
        <w:pStyle w:val="Prrafo"/>
        <w:numPr>
          <w:ilvl w:val="0"/>
          <w:numId w:val="19"/>
        </w:numPr>
        <w:spacing w:line="240" w:lineRule="auto"/>
        <w:rPr>
          <w:color w:val="000000" w:themeColor="text1"/>
        </w:rPr>
      </w:pPr>
      <w:r w:rsidRPr="00F868F4">
        <w:t>Los partidos políticos se encuentran obligados a observar el principio de paridad de género en</w:t>
      </w:r>
      <w:r w:rsidR="007D7941" w:rsidRPr="00F868F4">
        <w:t xml:space="preserve"> el registro de</w:t>
      </w:r>
      <w:r w:rsidRPr="00F868F4">
        <w:t xml:space="preserve"> sus </w:t>
      </w:r>
      <w:r w:rsidRPr="00F868F4">
        <w:rPr>
          <w:b/>
          <w:bCs/>
        </w:rPr>
        <w:t>candidaturas</w:t>
      </w:r>
      <w:r w:rsidR="007D7941" w:rsidRPr="00F868F4">
        <w:t>, lo que implica:</w:t>
      </w:r>
    </w:p>
    <w:p w14:paraId="7C3D76E2" w14:textId="21CAD53C" w:rsidR="007D7941" w:rsidRPr="00F868F4" w:rsidRDefault="007D7941" w:rsidP="007D7941">
      <w:pPr>
        <w:pStyle w:val="Prrafo"/>
        <w:numPr>
          <w:ilvl w:val="1"/>
          <w:numId w:val="19"/>
        </w:numPr>
        <w:spacing w:line="240" w:lineRule="auto"/>
        <w:rPr>
          <w:color w:val="000000" w:themeColor="text1"/>
        </w:rPr>
      </w:pPr>
      <w:r w:rsidRPr="00F868F4">
        <w:rPr>
          <w:color w:val="000000" w:themeColor="text1"/>
        </w:rPr>
        <w:t xml:space="preserve">Que los partidos políticos, nacionales </w:t>
      </w:r>
      <w:r w:rsidR="009F338A" w:rsidRPr="00F868F4">
        <w:rPr>
          <w:color w:val="000000" w:themeColor="text1"/>
        </w:rPr>
        <w:t>y locales, debe</w:t>
      </w:r>
      <w:r w:rsidR="007C18BA" w:rsidRPr="00F868F4">
        <w:rPr>
          <w:color w:val="000000" w:themeColor="text1"/>
        </w:rPr>
        <w:t>n de observar esa paridad en todas las candidaturas a cargos de elección popular, lo que incluye las vertientes vertical y horizontal en la renovación de los Ayuntamientos y Alcaldías;</w:t>
      </w:r>
    </w:p>
    <w:p w14:paraId="0F22EE3C" w14:textId="342DDEC2" w:rsidR="009C5BEA" w:rsidRPr="00F868F4" w:rsidRDefault="00194555" w:rsidP="00194555">
      <w:pPr>
        <w:pStyle w:val="Prrafo"/>
        <w:numPr>
          <w:ilvl w:val="1"/>
          <w:numId w:val="19"/>
        </w:numPr>
        <w:spacing w:line="240" w:lineRule="auto"/>
        <w:rPr>
          <w:color w:val="000000" w:themeColor="text1"/>
          <w:sz w:val="28"/>
          <w:szCs w:val="28"/>
        </w:rPr>
      </w:pPr>
      <w:r w:rsidRPr="00F868F4">
        <w:t>C</w:t>
      </w:r>
      <w:r w:rsidR="00F22FE2" w:rsidRPr="00F868F4">
        <w:t>uando las candidaturas se conformen a partir de fórmulas por ambos principios (mayoría relativa o representación proporcional), deben estar integradas por titular y suplente del mismo género</w:t>
      </w:r>
      <w:r w:rsidR="009C5BEA" w:rsidRPr="00F868F4">
        <w:t>.</w:t>
      </w:r>
      <w:r w:rsidR="00F22FE2" w:rsidRPr="00F868F4">
        <w:t xml:space="preserve"> </w:t>
      </w:r>
      <w:r w:rsidR="009C5BEA" w:rsidRPr="00F868F4">
        <w:t>En la integración de las listas se deben alternar las fórmulas de distinto género</w:t>
      </w:r>
      <w:r w:rsidR="00E4711F" w:rsidRPr="00F868F4">
        <w:t xml:space="preserve"> hasta agotarla</w:t>
      </w:r>
      <w:r w:rsidR="000157F0" w:rsidRPr="00F868F4">
        <w:t>, cada periodo electivo;</w:t>
      </w:r>
    </w:p>
    <w:p w14:paraId="39826F0D" w14:textId="3FE4C591" w:rsidR="000157F0" w:rsidRPr="00F868F4" w:rsidRDefault="000157F0" w:rsidP="000157F0">
      <w:pPr>
        <w:pStyle w:val="Prrafo"/>
        <w:numPr>
          <w:ilvl w:val="1"/>
          <w:numId w:val="19"/>
        </w:numPr>
        <w:spacing w:line="240" w:lineRule="auto"/>
        <w:rPr>
          <w:color w:val="000000" w:themeColor="text1"/>
          <w:sz w:val="28"/>
          <w:szCs w:val="28"/>
        </w:rPr>
      </w:pPr>
      <w:r w:rsidRPr="00F868F4">
        <w:t>E</w:t>
      </w:r>
      <w:r w:rsidR="00F22FE2" w:rsidRPr="00F868F4">
        <w:t>n el caso de las diputaciones</w:t>
      </w:r>
      <w:r w:rsidRPr="00F868F4">
        <w:t xml:space="preserve"> federales</w:t>
      </w:r>
      <w:r w:rsidR="00F22FE2" w:rsidRPr="00F868F4">
        <w:t>, de las cinco listas por circunscripción electoral, al menos dos deberán estar encabezadas por fórmulas de un mismo género, alternándose en cada periodo electivo</w:t>
      </w:r>
      <w:r w:rsidRPr="00F868F4">
        <w:t>;</w:t>
      </w:r>
      <w:r w:rsidR="00F22FE2" w:rsidRPr="00F868F4">
        <w:t xml:space="preserve"> tratándose de las senadurías, la lista deberá encabezarse alternadamente entre mujeres y hombres cada periodo electivo</w:t>
      </w:r>
      <w:r w:rsidR="007563DA" w:rsidRPr="00F868F4">
        <w:t>, y</w:t>
      </w:r>
    </w:p>
    <w:p w14:paraId="0BFE60CA" w14:textId="77777777" w:rsidR="007563DA" w:rsidRPr="00F868F4" w:rsidRDefault="000157F0" w:rsidP="007563DA">
      <w:pPr>
        <w:pStyle w:val="Prrafo"/>
        <w:numPr>
          <w:ilvl w:val="1"/>
          <w:numId w:val="19"/>
        </w:numPr>
        <w:spacing w:line="240" w:lineRule="auto"/>
        <w:rPr>
          <w:color w:val="000000" w:themeColor="text1"/>
          <w:sz w:val="28"/>
          <w:szCs w:val="28"/>
        </w:rPr>
      </w:pPr>
      <w:r w:rsidRPr="00F868F4">
        <w:t>Es</w:t>
      </w:r>
      <w:r w:rsidR="00F22FE2" w:rsidRPr="00F868F4">
        <w:t xml:space="preserve"> </w:t>
      </w:r>
      <w:r w:rsidR="00F22FE2" w:rsidRPr="00F868F4">
        <w:rPr>
          <w:b/>
          <w:bCs/>
        </w:rPr>
        <w:t>criterio jurisprudencial</w:t>
      </w:r>
      <w:r w:rsidR="00F22FE2" w:rsidRPr="00F868F4">
        <w:t xml:space="preserve"> de esta </w:t>
      </w:r>
      <w:r w:rsidRPr="00F868F4">
        <w:t xml:space="preserve">Suprema </w:t>
      </w:r>
      <w:r w:rsidR="00F22FE2" w:rsidRPr="00F868F4">
        <w:t xml:space="preserve">Corte que, tratándose del régimen de elección de las diputaciones, el principio de paridad de género no se agota en la </w:t>
      </w:r>
      <w:r w:rsidR="00F22FE2" w:rsidRPr="00F868F4">
        <w:rPr>
          <w:i/>
          <w:iCs/>
        </w:rPr>
        <w:t>postulación</w:t>
      </w:r>
      <w:r w:rsidR="00F22FE2" w:rsidRPr="00F868F4">
        <w:t xml:space="preserve"> de las candidaturas, sino que </w:t>
      </w:r>
      <w:r w:rsidR="00F22FE2" w:rsidRPr="00F868F4">
        <w:rPr>
          <w:b/>
          <w:bCs/>
        </w:rPr>
        <w:t>puede trascender a la integración</w:t>
      </w:r>
      <w:r w:rsidR="00F22FE2" w:rsidRPr="00F868F4">
        <w:t xml:space="preserve"> del órgano legislativo ante su necesario cumplimiento al momento de la delimitación de los curules por el principio de representación proporcional (dependiendo del modelo implementado para la asignación a los partidos de los espacios por representación proporcional).</w:t>
      </w:r>
    </w:p>
    <w:p w14:paraId="59B92C72" w14:textId="57D9A0CE" w:rsidR="00F22FE2" w:rsidRPr="00F868F4" w:rsidRDefault="007563DA" w:rsidP="007563DA">
      <w:pPr>
        <w:pStyle w:val="Prrafo"/>
        <w:numPr>
          <w:ilvl w:val="0"/>
          <w:numId w:val="19"/>
        </w:numPr>
        <w:spacing w:line="240" w:lineRule="auto"/>
        <w:rPr>
          <w:color w:val="000000" w:themeColor="text1"/>
          <w:sz w:val="28"/>
          <w:szCs w:val="28"/>
        </w:rPr>
      </w:pPr>
      <w:r w:rsidRPr="00F868F4">
        <w:t>E</w:t>
      </w:r>
      <w:r w:rsidR="00F22FE2" w:rsidRPr="00F868F4">
        <w:t xml:space="preserve">l contenido actual del principio de paridad de género no se agota en las candidaturas, sino que </w:t>
      </w:r>
      <w:r w:rsidR="00F22FE2" w:rsidRPr="00F868F4">
        <w:rPr>
          <w:b/>
          <w:bCs/>
        </w:rPr>
        <w:t xml:space="preserve">debe observarse en el nombramiento de cargos por designación </w:t>
      </w:r>
      <w:r w:rsidR="00F22FE2" w:rsidRPr="00F868F4">
        <w:t>descritos</w:t>
      </w:r>
      <w:r w:rsidR="00F22FE2" w:rsidRPr="00F868F4">
        <w:rPr>
          <w:b/>
          <w:bCs/>
        </w:rPr>
        <w:t xml:space="preserve"> </w:t>
      </w:r>
      <w:r w:rsidR="00F22FE2" w:rsidRPr="00F868F4">
        <w:t>en</w:t>
      </w:r>
      <w:r w:rsidR="00F22FE2" w:rsidRPr="00F868F4">
        <w:rPr>
          <w:b/>
          <w:bCs/>
        </w:rPr>
        <w:t xml:space="preserve"> </w:t>
      </w:r>
      <w:r w:rsidR="00F22FE2" w:rsidRPr="00F868F4">
        <w:t xml:space="preserve">la Constitución </w:t>
      </w:r>
      <w:r w:rsidR="00A2377F" w:rsidRPr="00F868F4">
        <w:t>Política del país</w:t>
      </w:r>
      <w:r w:rsidR="00F22FE2" w:rsidRPr="00F868F4">
        <w:t xml:space="preserve"> y en la Ley General de Instituciones y Procedimientos Electorales</w:t>
      </w:r>
      <w:r w:rsidR="00A2377F" w:rsidRPr="00F868F4">
        <w:t>:</w:t>
      </w:r>
    </w:p>
    <w:p w14:paraId="2FEB07BA" w14:textId="11FA25BF" w:rsidR="00F22FE2" w:rsidRPr="00F868F4" w:rsidRDefault="00A2377F" w:rsidP="00A2377F">
      <w:pPr>
        <w:pStyle w:val="Prrafo"/>
        <w:numPr>
          <w:ilvl w:val="1"/>
          <w:numId w:val="19"/>
        </w:numPr>
        <w:spacing w:line="240" w:lineRule="auto"/>
        <w:rPr>
          <w:color w:val="000000" w:themeColor="text1"/>
          <w:sz w:val="28"/>
          <w:szCs w:val="28"/>
        </w:rPr>
      </w:pPr>
      <w:r w:rsidRPr="00F868F4">
        <w:t>E</w:t>
      </w:r>
      <w:r w:rsidR="00F22FE2" w:rsidRPr="00F868F4">
        <w:t>l principio de paridad de género debe observarse en la integración de los organismos</w:t>
      </w:r>
      <w:r w:rsidRPr="00F868F4">
        <w:t xml:space="preserve"> constitucionales</w:t>
      </w:r>
      <w:r w:rsidR="00F22FE2" w:rsidRPr="00F868F4">
        <w:t xml:space="preserve"> autónomos</w:t>
      </w:r>
      <w:r w:rsidR="000A34E3" w:rsidRPr="00F868F4">
        <w:t>, y</w:t>
      </w:r>
    </w:p>
    <w:p w14:paraId="65C4769F" w14:textId="1CC1430A" w:rsidR="000A34E3" w:rsidRPr="00F868F4" w:rsidRDefault="001057E5" w:rsidP="000A34E3">
      <w:pPr>
        <w:pStyle w:val="Prrafo"/>
        <w:numPr>
          <w:ilvl w:val="1"/>
          <w:numId w:val="19"/>
        </w:numPr>
        <w:spacing w:line="240" w:lineRule="auto"/>
        <w:rPr>
          <w:color w:val="000000" w:themeColor="text1"/>
          <w:sz w:val="28"/>
          <w:szCs w:val="28"/>
        </w:rPr>
      </w:pPr>
      <w:r w:rsidRPr="00F868F4">
        <w:t xml:space="preserve">El INE y los organismos públicos electorales locales </w:t>
      </w:r>
      <w:r w:rsidR="00F22FE2" w:rsidRPr="00F868F4">
        <w:t>deben observar en su integración la paridad de género.</w:t>
      </w:r>
      <w:r w:rsidRPr="00F868F4">
        <w:t xml:space="preserve"> Lo mismo para el caso de</w:t>
      </w:r>
      <w:r w:rsidR="00F22FE2" w:rsidRPr="00F868F4">
        <w:t xml:space="preserve"> las autoridades electorales jurisdiccionales locales</w:t>
      </w:r>
      <w:r w:rsidRPr="00F868F4">
        <w:t>, respecto a las que debe haber alternancia del género mayoritario</w:t>
      </w:r>
      <w:r w:rsidR="000A34E3" w:rsidRPr="00F868F4">
        <w:t>.</w:t>
      </w:r>
    </w:p>
    <w:p w14:paraId="6C4F8FAF" w14:textId="5FA023F4" w:rsidR="00D07340" w:rsidRPr="00F868F4" w:rsidRDefault="00B4716D" w:rsidP="000A34E3">
      <w:pPr>
        <w:pStyle w:val="Prrafo"/>
        <w:numPr>
          <w:ilvl w:val="0"/>
          <w:numId w:val="19"/>
        </w:numPr>
        <w:spacing w:line="240" w:lineRule="auto"/>
        <w:rPr>
          <w:color w:val="000000" w:themeColor="text1"/>
          <w:sz w:val="28"/>
          <w:szCs w:val="28"/>
        </w:rPr>
      </w:pPr>
      <w:r w:rsidRPr="00F868F4">
        <w:lastRenderedPageBreak/>
        <w:t>Es obligación</w:t>
      </w:r>
      <w:r w:rsidR="00F22FE2" w:rsidRPr="00F868F4">
        <w:t xml:space="preserve"> del Congreso de la Unión </w:t>
      </w:r>
      <w:r w:rsidR="00D07340" w:rsidRPr="00F868F4">
        <w:t>y de las entidades federativas adecuar su normativa a los mandatos constitucionales</w:t>
      </w:r>
      <w:r w:rsidR="00907C24" w:rsidRPr="00F868F4">
        <w:t xml:space="preserve"> precisados</w:t>
      </w:r>
      <w:r w:rsidR="00D07340" w:rsidRPr="00F868F4">
        <w:t>.</w:t>
      </w:r>
    </w:p>
    <w:p w14:paraId="2AEA5B8B" w14:textId="671D103C" w:rsidR="006C4DFB" w:rsidRPr="00F868F4" w:rsidRDefault="005C628C">
      <w:pPr>
        <w:pStyle w:val="Prrafo"/>
        <w:numPr>
          <w:ilvl w:val="0"/>
          <w:numId w:val="1"/>
        </w:numPr>
        <w:ind w:left="0" w:hanging="567"/>
        <w:rPr>
          <w:sz w:val="28"/>
          <w:szCs w:val="28"/>
        </w:rPr>
      </w:pPr>
      <w:r w:rsidRPr="00F868F4">
        <w:rPr>
          <w:sz w:val="28"/>
          <w:szCs w:val="28"/>
        </w:rPr>
        <w:t xml:space="preserve">Adicionalmente, para resolver el planteamiento </w:t>
      </w:r>
      <w:r w:rsidR="00495F78" w:rsidRPr="00F868F4">
        <w:rPr>
          <w:sz w:val="28"/>
          <w:szCs w:val="28"/>
        </w:rPr>
        <w:t>de dicho</w:t>
      </w:r>
      <w:r w:rsidRPr="00F868F4">
        <w:rPr>
          <w:sz w:val="28"/>
          <w:szCs w:val="28"/>
        </w:rPr>
        <w:t xml:space="preserve"> asunto, este alto tribunal determinó que </w:t>
      </w:r>
      <w:r w:rsidR="00A021D7" w:rsidRPr="00F868F4">
        <w:rPr>
          <w:b/>
          <w:bCs/>
          <w:sz w:val="28"/>
          <w:szCs w:val="28"/>
        </w:rPr>
        <w:t xml:space="preserve">el mandato de </w:t>
      </w:r>
      <w:r w:rsidR="00964DB4" w:rsidRPr="00F868F4">
        <w:rPr>
          <w:b/>
          <w:bCs/>
          <w:sz w:val="28"/>
          <w:szCs w:val="28"/>
        </w:rPr>
        <w:t>alternar, por periodo electivo, el género de la persona que encabeza</w:t>
      </w:r>
      <w:r w:rsidR="00A021D7" w:rsidRPr="00F868F4">
        <w:rPr>
          <w:b/>
          <w:bCs/>
          <w:sz w:val="28"/>
          <w:szCs w:val="28"/>
        </w:rPr>
        <w:t xml:space="preserve"> las listas de candidaturas bajo el sistema de representación proporcional en las entidades federativas se encuentra inmerso en el contenido genérico del principio constitucional de paridad de género.</w:t>
      </w:r>
      <w:r w:rsidR="002D1D62" w:rsidRPr="00F868F4">
        <w:rPr>
          <w:b/>
          <w:bCs/>
          <w:sz w:val="28"/>
          <w:szCs w:val="28"/>
        </w:rPr>
        <w:t xml:space="preserve"> </w:t>
      </w:r>
      <w:r w:rsidR="00A021D7" w:rsidRPr="00F868F4">
        <w:rPr>
          <w:sz w:val="28"/>
          <w:szCs w:val="28"/>
        </w:rPr>
        <w:t>Por tanto, estableció que en ese aspecto no existe libertad configurativa, sino un mandato constitucional</w:t>
      </w:r>
      <w:r w:rsidR="001D7CA2" w:rsidRPr="00F868F4">
        <w:rPr>
          <w:sz w:val="28"/>
          <w:szCs w:val="28"/>
        </w:rPr>
        <w:t>, puesto que con la</w:t>
      </w:r>
      <w:r w:rsidR="001627D6" w:rsidRPr="00F868F4">
        <w:rPr>
          <w:sz w:val="28"/>
          <w:szCs w:val="28"/>
        </w:rPr>
        <w:t xml:space="preserve"> medida se pretende evitar que los partidos políticos busquen favorecer al género masculino de manera recurrente, en detrimento de las mujeres</w:t>
      </w:r>
      <w:r w:rsidR="00CA72E2" w:rsidRPr="00F868F4">
        <w:rPr>
          <w:rStyle w:val="Refdenotaalpie"/>
          <w:sz w:val="28"/>
          <w:szCs w:val="28"/>
        </w:rPr>
        <w:footnoteReference w:id="70"/>
      </w:r>
      <w:r w:rsidR="001627D6" w:rsidRPr="00F868F4">
        <w:rPr>
          <w:sz w:val="28"/>
          <w:szCs w:val="28"/>
        </w:rPr>
        <w:t>.</w:t>
      </w:r>
    </w:p>
    <w:p w14:paraId="69AB00B9" w14:textId="53D36506" w:rsidR="000B1578" w:rsidRPr="00F868F4" w:rsidRDefault="0004299D">
      <w:pPr>
        <w:pStyle w:val="Prrafo"/>
        <w:numPr>
          <w:ilvl w:val="0"/>
          <w:numId w:val="1"/>
        </w:numPr>
        <w:ind w:left="0" w:hanging="567"/>
        <w:rPr>
          <w:sz w:val="28"/>
          <w:szCs w:val="28"/>
        </w:rPr>
      </w:pPr>
      <w:r w:rsidRPr="00F868F4">
        <w:rPr>
          <w:sz w:val="28"/>
          <w:szCs w:val="28"/>
        </w:rPr>
        <w:t>Por último,</w:t>
      </w:r>
      <w:r w:rsidR="00C85050" w:rsidRPr="00F868F4">
        <w:rPr>
          <w:sz w:val="28"/>
          <w:szCs w:val="28"/>
        </w:rPr>
        <w:t xml:space="preserve"> </w:t>
      </w:r>
      <w:r w:rsidRPr="00F868F4">
        <w:rPr>
          <w:sz w:val="28"/>
          <w:szCs w:val="28"/>
        </w:rPr>
        <w:t xml:space="preserve">este Tribunal Pleno </w:t>
      </w:r>
      <w:r w:rsidR="008B14B4" w:rsidRPr="00F868F4">
        <w:rPr>
          <w:sz w:val="28"/>
          <w:szCs w:val="28"/>
        </w:rPr>
        <w:t>ha analizado</w:t>
      </w:r>
      <w:r w:rsidR="0056264A" w:rsidRPr="00F868F4">
        <w:rPr>
          <w:sz w:val="28"/>
          <w:szCs w:val="28"/>
        </w:rPr>
        <w:t xml:space="preserve"> de forma reciente </w:t>
      </w:r>
      <w:r w:rsidR="00140FB7" w:rsidRPr="00F868F4">
        <w:rPr>
          <w:sz w:val="28"/>
          <w:szCs w:val="28"/>
        </w:rPr>
        <w:t xml:space="preserve">el cuestionamiento </w:t>
      </w:r>
      <w:r w:rsidR="000373E3" w:rsidRPr="00F868F4">
        <w:rPr>
          <w:sz w:val="28"/>
          <w:szCs w:val="28"/>
        </w:rPr>
        <w:t>de</w:t>
      </w:r>
      <w:r w:rsidR="005E7AA3" w:rsidRPr="00F868F4">
        <w:rPr>
          <w:sz w:val="28"/>
          <w:szCs w:val="28"/>
        </w:rPr>
        <w:t xml:space="preserve"> si el principio de paridad de género es aplicable</w:t>
      </w:r>
      <w:r w:rsidR="00576E6E" w:rsidRPr="00F868F4">
        <w:rPr>
          <w:sz w:val="28"/>
          <w:szCs w:val="28"/>
        </w:rPr>
        <w:t xml:space="preserve"> </w:t>
      </w:r>
      <w:r w:rsidR="00B3300A" w:rsidRPr="00F868F4">
        <w:rPr>
          <w:sz w:val="28"/>
          <w:szCs w:val="28"/>
        </w:rPr>
        <w:t>a</w:t>
      </w:r>
      <w:r w:rsidR="004826CB" w:rsidRPr="00F868F4">
        <w:rPr>
          <w:sz w:val="28"/>
          <w:szCs w:val="28"/>
        </w:rPr>
        <w:t xml:space="preserve"> los</w:t>
      </w:r>
      <w:r w:rsidR="00475885" w:rsidRPr="00F868F4">
        <w:rPr>
          <w:sz w:val="28"/>
          <w:szCs w:val="28"/>
        </w:rPr>
        <w:t xml:space="preserve"> cargos unipersonales, como lo son las gubernaturas, lo que implicaría que las entidades federativas </w:t>
      </w:r>
      <w:r w:rsidR="00345371" w:rsidRPr="00F868F4">
        <w:rPr>
          <w:sz w:val="28"/>
          <w:szCs w:val="28"/>
        </w:rPr>
        <w:t>tengan</w:t>
      </w:r>
      <w:r w:rsidR="00475885" w:rsidRPr="00F868F4">
        <w:rPr>
          <w:sz w:val="28"/>
          <w:szCs w:val="28"/>
        </w:rPr>
        <w:t xml:space="preserve"> la obligación de </w:t>
      </w:r>
      <w:r w:rsidR="00404796" w:rsidRPr="00F868F4">
        <w:rPr>
          <w:sz w:val="28"/>
          <w:szCs w:val="28"/>
        </w:rPr>
        <w:t xml:space="preserve">legislar medidas para su garantía. </w:t>
      </w:r>
      <w:r w:rsidR="006E1078" w:rsidRPr="00F868F4">
        <w:rPr>
          <w:sz w:val="28"/>
          <w:szCs w:val="28"/>
        </w:rPr>
        <w:t xml:space="preserve">Por ejemplo, en la </w:t>
      </w:r>
      <w:r w:rsidR="006E1078" w:rsidRPr="00F868F4">
        <w:rPr>
          <w:b/>
          <w:bCs/>
          <w:sz w:val="28"/>
          <w:szCs w:val="28"/>
        </w:rPr>
        <w:t>acción de inconstitucionalidad 187/2023 y su acumulada 188/2023</w:t>
      </w:r>
      <w:r w:rsidR="006372FB" w:rsidRPr="00F868F4">
        <w:rPr>
          <w:rStyle w:val="Refdenotaalpie"/>
          <w:sz w:val="28"/>
          <w:szCs w:val="28"/>
        </w:rPr>
        <w:footnoteReference w:id="71"/>
      </w:r>
      <w:r w:rsidR="006E1078" w:rsidRPr="00F868F4">
        <w:rPr>
          <w:sz w:val="28"/>
          <w:szCs w:val="28"/>
        </w:rPr>
        <w:t xml:space="preserve">, se </w:t>
      </w:r>
      <w:r w:rsidR="003A07B8" w:rsidRPr="00F868F4">
        <w:rPr>
          <w:sz w:val="28"/>
          <w:szCs w:val="28"/>
        </w:rPr>
        <w:t xml:space="preserve">evaluó si </w:t>
      </w:r>
      <w:r w:rsidR="0062528C" w:rsidRPr="00F868F4">
        <w:rPr>
          <w:sz w:val="28"/>
          <w:szCs w:val="28"/>
        </w:rPr>
        <w:t xml:space="preserve">del mandato constitucional de </w:t>
      </w:r>
      <w:r w:rsidR="0062528C" w:rsidRPr="00F868F4">
        <w:rPr>
          <w:sz w:val="28"/>
          <w:szCs w:val="28"/>
        </w:rPr>
        <w:lastRenderedPageBreak/>
        <w:t xml:space="preserve">paridad se </w:t>
      </w:r>
      <w:r w:rsidR="00181D71" w:rsidRPr="00F868F4">
        <w:rPr>
          <w:sz w:val="28"/>
          <w:szCs w:val="28"/>
        </w:rPr>
        <w:t>desprendía</w:t>
      </w:r>
      <w:r w:rsidR="0062528C" w:rsidRPr="00F868F4">
        <w:rPr>
          <w:sz w:val="28"/>
          <w:szCs w:val="28"/>
        </w:rPr>
        <w:t xml:space="preserve"> </w:t>
      </w:r>
      <w:r w:rsidR="002426F4" w:rsidRPr="00F868F4">
        <w:rPr>
          <w:sz w:val="28"/>
          <w:szCs w:val="28"/>
        </w:rPr>
        <w:t>una exigencia de prever la alternancia de género por periodo electivo en la Gubernatura</w:t>
      </w:r>
      <w:r w:rsidR="00CF39E5" w:rsidRPr="00F868F4">
        <w:rPr>
          <w:sz w:val="28"/>
          <w:szCs w:val="28"/>
        </w:rPr>
        <w:t xml:space="preserve">, </w:t>
      </w:r>
      <w:r w:rsidR="00181D71" w:rsidRPr="00F868F4">
        <w:rPr>
          <w:sz w:val="28"/>
          <w:szCs w:val="28"/>
        </w:rPr>
        <w:t>y si la legislación electoral del estado de Durango resultaba deficiente por</w:t>
      </w:r>
      <w:r w:rsidR="00256BC4" w:rsidRPr="00F868F4">
        <w:rPr>
          <w:sz w:val="28"/>
          <w:szCs w:val="28"/>
        </w:rPr>
        <w:t xml:space="preserve"> omitir su regulación.</w:t>
      </w:r>
    </w:p>
    <w:p w14:paraId="5ECBDA13" w14:textId="2DCA517B" w:rsidR="005E034A" w:rsidRPr="002210B3" w:rsidRDefault="005C1A45" w:rsidP="002210B3">
      <w:pPr>
        <w:pStyle w:val="Prrafo"/>
        <w:numPr>
          <w:ilvl w:val="0"/>
          <w:numId w:val="1"/>
        </w:numPr>
        <w:ind w:left="0" w:hanging="567"/>
        <w:rPr>
          <w:sz w:val="28"/>
          <w:szCs w:val="28"/>
        </w:rPr>
      </w:pPr>
      <w:r w:rsidRPr="00103344">
        <w:rPr>
          <w:sz w:val="28"/>
          <w:szCs w:val="28"/>
        </w:rPr>
        <w:t xml:space="preserve">Al respecto, del análisis de los artículos </w:t>
      </w:r>
      <w:r w:rsidR="000F5756" w:rsidRPr="00103344">
        <w:rPr>
          <w:sz w:val="28"/>
          <w:szCs w:val="28"/>
        </w:rPr>
        <w:t xml:space="preserve">35, fracción II, 41, fracción I, y 116, fracción IV, de la Constitución Política del país, </w:t>
      </w:r>
      <w:r w:rsidR="00C66C30" w:rsidRPr="00103344">
        <w:rPr>
          <w:sz w:val="28"/>
          <w:szCs w:val="28"/>
        </w:rPr>
        <w:t xml:space="preserve">así como de los artículos tercero y cuarto transitorios del decreto de reforma constitucional en materia de paridad de género, </w:t>
      </w:r>
      <w:r w:rsidR="00E26EA2" w:rsidRPr="00103344">
        <w:rPr>
          <w:sz w:val="28"/>
          <w:szCs w:val="28"/>
        </w:rPr>
        <w:t xml:space="preserve">se </w:t>
      </w:r>
      <w:r w:rsidR="007465C2" w:rsidRPr="00103344">
        <w:rPr>
          <w:sz w:val="28"/>
          <w:szCs w:val="28"/>
        </w:rPr>
        <w:t>razonó</w:t>
      </w:r>
      <w:r w:rsidR="00E26EA2" w:rsidRPr="00103344">
        <w:rPr>
          <w:sz w:val="28"/>
          <w:szCs w:val="28"/>
        </w:rPr>
        <w:t xml:space="preserve"> que </w:t>
      </w:r>
      <w:r w:rsidR="00E26EA2" w:rsidRPr="00103344">
        <w:rPr>
          <w:b/>
          <w:bCs/>
          <w:sz w:val="28"/>
          <w:szCs w:val="28"/>
        </w:rPr>
        <w:t xml:space="preserve">no existe </w:t>
      </w:r>
      <w:r w:rsidR="005D0ED3" w:rsidRPr="00103344">
        <w:rPr>
          <w:b/>
          <w:bCs/>
          <w:sz w:val="28"/>
          <w:szCs w:val="28"/>
        </w:rPr>
        <w:t>una obligación</w:t>
      </w:r>
      <w:r w:rsidR="00E26EA2" w:rsidRPr="00103344">
        <w:rPr>
          <w:b/>
          <w:bCs/>
          <w:sz w:val="28"/>
          <w:szCs w:val="28"/>
        </w:rPr>
        <w:t xml:space="preserve"> constitucional</w:t>
      </w:r>
      <w:r w:rsidR="005D0ED3" w:rsidRPr="00103344">
        <w:rPr>
          <w:b/>
          <w:bCs/>
          <w:sz w:val="28"/>
          <w:szCs w:val="28"/>
        </w:rPr>
        <w:t xml:space="preserve"> o lineamiento específico</w:t>
      </w:r>
      <w:r w:rsidR="00E26EA2" w:rsidRPr="00103344">
        <w:rPr>
          <w:b/>
          <w:bCs/>
          <w:sz w:val="28"/>
          <w:szCs w:val="28"/>
        </w:rPr>
        <w:t xml:space="preserve"> para </w:t>
      </w:r>
      <w:r w:rsidR="005D0ED3" w:rsidRPr="00103344">
        <w:rPr>
          <w:b/>
          <w:bCs/>
          <w:sz w:val="28"/>
          <w:szCs w:val="28"/>
        </w:rPr>
        <w:t>los congresos</w:t>
      </w:r>
      <w:r w:rsidR="00E26EA2" w:rsidRPr="00103344">
        <w:rPr>
          <w:b/>
          <w:bCs/>
          <w:sz w:val="28"/>
          <w:szCs w:val="28"/>
        </w:rPr>
        <w:t xml:space="preserve"> locales de establecer un régimen de alternancia de género por periodo electivo en las gubernaturas de los estados</w:t>
      </w:r>
      <w:r w:rsidR="001B6961" w:rsidRPr="00103344">
        <w:rPr>
          <w:sz w:val="28"/>
          <w:szCs w:val="28"/>
        </w:rPr>
        <w:t>. Se consideró que, más bien, las legislaturas cuentan con libertad de configuración para legislar en materia de paridad de género tratándose de las gubernaturas</w:t>
      </w:r>
      <w:r w:rsidR="007B6FC0" w:rsidRPr="00103344">
        <w:rPr>
          <w:sz w:val="28"/>
          <w:szCs w:val="28"/>
        </w:rPr>
        <w:t>.</w:t>
      </w:r>
      <w:r w:rsidR="00103344">
        <w:rPr>
          <w:sz w:val="28"/>
          <w:szCs w:val="28"/>
        </w:rPr>
        <w:t xml:space="preserve"> </w:t>
      </w:r>
      <w:r w:rsidR="005E034A" w:rsidRPr="00075343">
        <w:rPr>
          <w:sz w:val="28"/>
          <w:szCs w:val="28"/>
        </w:rPr>
        <w:t>En consecuencia, se reconoció la validez de la normativa impugnada</w:t>
      </w:r>
      <w:r w:rsidR="002210B3" w:rsidRPr="00075343">
        <w:rPr>
          <w:sz w:val="28"/>
          <w:szCs w:val="28"/>
        </w:rPr>
        <w:t xml:space="preserve">, por una </w:t>
      </w:r>
      <w:r w:rsidR="002210B3" w:rsidRPr="00075343">
        <w:rPr>
          <w:b/>
          <w:bCs/>
          <w:sz w:val="28"/>
          <w:szCs w:val="28"/>
        </w:rPr>
        <w:t>mayoría de cinco votos</w:t>
      </w:r>
      <w:r w:rsidR="003407A9" w:rsidRPr="00075343">
        <w:rPr>
          <w:rStyle w:val="Refdenotaalpie"/>
          <w:sz w:val="28"/>
          <w:szCs w:val="28"/>
        </w:rPr>
        <w:footnoteReference w:id="72"/>
      </w:r>
      <w:r w:rsidR="003407A9" w:rsidRPr="00075343">
        <w:rPr>
          <w:sz w:val="28"/>
          <w:szCs w:val="28"/>
        </w:rPr>
        <w:t>.</w:t>
      </w:r>
      <w:r w:rsidR="003407A9" w:rsidRPr="002210B3">
        <w:rPr>
          <w:sz w:val="28"/>
          <w:szCs w:val="28"/>
        </w:rPr>
        <w:t xml:space="preserve"> </w:t>
      </w:r>
    </w:p>
    <w:p w14:paraId="192EDF0C" w14:textId="52059F1E" w:rsidR="00256BC4" w:rsidRPr="00F868F4" w:rsidRDefault="00E42E5A" w:rsidP="00256BC4">
      <w:pPr>
        <w:pStyle w:val="Prrafo"/>
        <w:numPr>
          <w:ilvl w:val="0"/>
          <w:numId w:val="1"/>
        </w:numPr>
        <w:ind w:left="0" w:hanging="567"/>
        <w:rPr>
          <w:sz w:val="28"/>
          <w:szCs w:val="28"/>
        </w:rPr>
      </w:pPr>
      <w:r w:rsidRPr="00F868F4">
        <w:rPr>
          <w:sz w:val="28"/>
          <w:szCs w:val="28"/>
        </w:rPr>
        <w:t xml:space="preserve">De igual manera, en la </w:t>
      </w:r>
      <w:r w:rsidRPr="00F868F4">
        <w:rPr>
          <w:b/>
          <w:bCs/>
          <w:sz w:val="28"/>
          <w:szCs w:val="28"/>
        </w:rPr>
        <w:t>acción de inconstitucionalidad 161/2023 y sus acumuladas 166/2023</w:t>
      </w:r>
      <w:r w:rsidR="001A36BD" w:rsidRPr="00F868F4">
        <w:rPr>
          <w:b/>
          <w:bCs/>
          <w:sz w:val="28"/>
          <w:szCs w:val="28"/>
        </w:rPr>
        <w:t>, 167/2023, 169/2023 y 171/2023</w:t>
      </w:r>
      <w:r w:rsidR="001A36BD" w:rsidRPr="00F868F4">
        <w:rPr>
          <w:sz w:val="28"/>
          <w:szCs w:val="28"/>
        </w:rPr>
        <w:t xml:space="preserve">, esta Suprema Corte </w:t>
      </w:r>
      <w:r w:rsidR="00B41A70" w:rsidRPr="00F868F4">
        <w:rPr>
          <w:sz w:val="28"/>
          <w:szCs w:val="28"/>
        </w:rPr>
        <w:t xml:space="preserve">analizó la </w:t>
      </w:r>
      <w:r w:rsidR="00BA1E85" w:rsidRPr="00F868F4">
        <w:rPr>
          <w:sz w:val="28"/>
          <w:szCs w:val="28"/>
        </w:rPr>
        <w:t>regularidad constitucional</w:t>
      </w:r>
      <w:r w:rsidR="00B41A70" w:rsidRPr="00F868F4">
        <w:rPr>
          <w:sz w:val="28"/>
          <w:szCs w:val="28"/>
        </w:rPr>
        <w:t xml:space="preserve"> de una disposición del Código Electoral del Estado de Jalisco</w:t>
      </w:r>
      <w:r w:rsidR="007813CE" w:rsidRPr="00F868F4">
        <w:rPr>
          <w:rStyle w:val="Refdenotaalpie"/>
          <w:sz w:val="28"/>
          <w:szCs w:val="28"/>
        </w:rPr>
        <w:footnoteReference w:id="73"/>
      </w:r>
      <w:r w:rsidR="00B41A70" w:rsidRPr="00F868F4">
        <w:rPr>
          <w:sz w:val="28"/>
          <w:szCs w:val="28"/>
        </w:rPr>
        <w:t xml:space="preserve"> </w:t>
      </w:r>
      <w:r w:rsidR="00061E0A" w:rsidRPr="00F868F4">
        <w:rPr>
          <w:sz w:val="28"/>
          <w:szCs w:val="28"/>
        </w:rPr>
        <w:t>que regulab</w:t>
      </w:r>
      <w:r w:rsidR="00AA5AC6" w:rsidRPr="00F868F4">
        <w:rPr>
          <w:sz w:val="28"/>
          <w:szCs w:val="28"/>
        </w:rPr>
        <w:t>a la observancia del principio de paridad de género en las postulaciones a la Gubernatura</w:t>
      </w:r>
      <w:r w:rsidR="00E371C4" w:rsidRPr="00F868F4">
        <w:rPr>
          <w:sz w:val="28"/>
          <w:szCs w:val="28"/>
        </w:rPr>
        <w:t>, pero estableciendo un trato diferenciado entre los partidos políticos nacionales</w:t>
      </w:r>
      <w:r w:rsidR="00DA5B8A" w:rsidRPr="00F868F4">
        <w:rPr>
          <w:sz w:val="28"/>
          <w:szCs w:val="28"/>
        </w:rPr>
        <w:t xml:space="preserve"> (quienes solo debían garantizarla “en los términos que establezca la </w:t>
      </w:r>
      <w:r w:rsidR="00DA5B8A" w:rsidRPr="00F868F4">
        <w:rPr>
          <w:sz w:val="28"/>
          <w:szCs w:val="28"/>
        </w:rPr>
        <w:lastRenderedPageBreak/>
        <w:t>autoridad competente”) y los de carácter local (</w:t>
      </w:r>
      <w:r w:rsidR="007813CE" w:rsidRPr="00F868F4">
        <w:rPr>
          <w:sz w:val="28"/>
          <w:szCs w:val="28"/>
        </w:rPr>
        <w:t>los que debían observar “la postulación alternada entre los géneros”).</w:t>
      </w:r>
    </w:p>
    <w:p w14:paraId="3B7C95DF" w14:textId="0CACCE66" w:rsidR="00336DE4" w:rsidRPr="00F868F4" w:rsidRDefault="006B6D97" w:rsidP="00256BC4">
      <w:pPr>
        <w:pStyle w:val="Prrafo"/>
        <w:numPr>
          <w:ilvl w:val="0"/>
          <w:numId w:val="1"/>
        </w:numPr>
        <w:ind w:left="0" w:hanging="567"/>
        <w:rPr>
          <w:sz w:val="28"/>
          <w:szCs w:val="28"/>
        </w:rPr>
      </w:pPr>
      <w:r w:rsidRPr="00F868F4">
        <w:rPr>
          <w:sz w:val="28"/>
          <w:szCs w:val="28"/>
        </w:rPr>
        <w:t xml:space="preserve">En el proyecto puesto a consideración del Tribunal Pleno, </w:t>
      </w:r>
      <w:r w:rsidR="00AE3D14" w:rsidRPr="00F868F4">
        <w:rPr>
          <w:sz w:val="28"/>
          <w:szCs w:val="28"/>
        </w:rPr>
        <w:t>se proponía declarar fundado el concepto de invalidez</w:t>
      </w:r>
      <w:r w:rsidR="00C276D3" w:rsidRPr="00F868F4">
        <w:rPr>
          <w:sz w:val="28"/>
          <w:szCs w:val="28"/>
        </w:rPr>
        <w:t>,</w:t>
      </w:r>
      <w:r w:rsidR="00AE3D14" w:rsidRPr="00F868F4">
        <w:rPr>
          <w:sz w:val="28"/>
          <w:szCs w:val="28"/>
        </w:rPr>
        <w:t xml:space="preserve"> porque</w:t>
      </w:r>
      <w:r w:rsidR="004F652E" w:rsidRPr="00F868F4">
        <w:rPr>
          <w:sz w:val="28"/>
          <w:szCs w:val="28"/>
        </w:rPr>
        <w:t xml:space="preserve"> del artículo cuarto transitorio del decreto de reforma </w:t>
      </w:r>
      <w:r w:rsidR="00D81FD8" w:rsidRPr="00F868F4">
        <w:rPr>
          <w:sz w:val="28"/>
          <w:szCs w:val="28"/>
        </w:rPr>
        <w:t xml:space="preserve">constitucional publicado el </w:t>
      </w:r>
      <w:r w:rsidR="00D81FD8" w:rsidRPr="00F868F4">
        <w:rPr>
          <w:bCs/>
          <w:sz w:val="28"/>
          <w:szCs w:val="28"/>
          <w:lang w:eastAsia="es-ES"/>
        </w:rPr>
        <w:t>seis de junio de dos mil diecinueve,</w:t>
      </w:r>
      <w:r w:rsidR="00690123" w:rsidRPr="00F868F4">
        <w:rPr>
          <w:bCs/>
          <w:sz w:val="28"/>
          <w:szCs w:val="28"/>
          <w:lang w:eastAsia="es-ES"/>
        </w:rPr>
        <w:t xml:space="preserve"> </w:t>
      </w:r>
      <w:r w:rsidR="00690123" w:rsidRPr="00F868F4">
        <w:rPr>
          <w:b/>
          <w:sz w:val="28"/>
          <w:szCs w:val="28"/>
          <w:lang w:eastAsia="es-ES"/>
        </w:rPr>
        <w:t xml:space="preserve">se desprendía una obligación directa a cargo de las legislaturas estatales de establecer reglas claras a nivel legal respecto de la forma en que se procuraría el principio de paridad en la renovación de todos los cargos de elección popular, incluyendo la titularidad del Poder Ejecutivo </w:t>
      </w:r>
      <w:r w:rsidR="001A556D" w:rsidRPr="00F868F4">
        <w:rPr>
          <w:b/>
          <w:sz w:val="28"/>
          <w:szCs w:val="28"/>
          <w:lang w:eastAsia="es-ES"/>
        </w:rPr>
        <w:t xml:space="preserve">de la entidad federativa. </w:t>
      </w:r>
      <w:r w:rsidR="001A556D" w:rsidRPr="00F868F4">
        <w:rPr>
          <w:bCs/>
          <w:sz w:val="28"/>
          <w:szCs w:val="28"/>
          <w:lang w:eastAsia="es-ES"/>
        </w:rPr>
        <w:t>Se precisó que la Constitución no establece una distinción que permita concluir que se excluye a las gubernaturas de la observancia del mandato de paridad de género</w:t>
      </w:r>
      <w:r w:rsidR="00E953E1" w:rsidRPr="00F868F4">
        <w:rPr>
          <w:bCs/>
          <w:sz w:val="28"/>
          <w:szCs w:val="28"/>
          <w:lang w:eastAsia="es-ES"/>
        </w:rPr>
        <w:t>.</w:t>
      </w:r>
    </w:p>
    <w:p w14:paraId="6B34423C" w14:textId="615ED6A9" w:rsidR="00E953E1" w:rsidRPr="00F868F4" w:rsidRDefault="00A67944" w:rsidP="00256BC4">
      <w:pPr>
        <w:pStyle w:val="Prrafo"/>
        <w:numPr>
          <w:ilvl w:val="0"/>
          <w:numId w:val="1"/>
        </w:numPr>
        <w:ind w:left="0" w:hanging="567"/>
        <w:rPr>
          <w:sz w:val="28"/>
          <w:szCs w:val="28"/>
        </w:rPr>
      </w:pPr>
      <w:r w:rsidRPr="00F868F4">
        <w:rPr>
          <w:bCs/>
          <w:sz w:val="28"/>
          <w:szCs w:val="28"/>
          <w:lang w:eastAsia="es-ES"/>
        </w:rPr>
        <w:t xml:space="preserve">Por tanto, si bien la norma impugnada establecía una regla clara para la postulación paritaria </w:t>
      </w:r>
      <w:r w:rsidR="00047D0A" w:rsidRPr="00F868F4">
        <w:rPr>
          <w:bCs/>
          <w:sz w:val="28"/>
          <w:szCs w:val="28"/>
          <w:lang w:eastAsia="es-ES"/>
        </w:rPr>
        <w:t>respecto a los partidos políticos locales (alternancia), en relación con los partidos nacionales se aludía al principio de autodeterminación y se remitía a diversa autoridad competente para determinar las reglas aplicables</w:t>
      </w:r>
      <w:r w:rsidR="00BB2E08" w:rsidRPr="00F868F4">
        <w:rPr>
          <w:bCs/>
          <w:sz w:val="28"/>
          <w:szCs w:val="28"/>
          <w:lang w:eastAsia="es-ES"/>
        </w:rPr>
        <w:t>, lo que</w:t>
      </w:r>
      <w:r w:rsidR="00FE15B7" w:rsidRPr="00F868F4">
        <w:rPr>
          <w:bCs/>
          <w:sz w:val="28"/>
          <w:szCs w:val="28"/>
          <w:lang w:eastAsia="es-ES"/>
        </w:rPr>
        <w:t xml:space="preserve"> para la consulta</w:t>
      </w:r>
      <w:r w:rsidR="00BB2E08" w:rsidRPr="00F868F4">
        <w:rPr>
          <w:bCs/>
          <w:sz w:val="28"/>
          <w:szCs w:val="28"/>
          <w:lang w:eastAsia="es-ES"/>
        </w:rPr>
        <w:t xml:space="preserve"> se traducía en un desacato a lo ordenado en el régimen transitorio constitucional, pues no se definían reglas para el registro de candidaturas que aseguren el respeto de la paridad de género</w:t>
      </w:r>
      <w:r w:rsidR="00C11B8F" w:rsidRPr="00F868F4">
        <w:rPr>
          <w:bCs/>
          <w:sz w:val="28"/>
          <w:szCs w:val="28"/>
          <w:lang w:eastAsia="es-ES"/>
        </w:rPr>
        <w:t xml:space="preserve">. </w:t>
      </w:r>
      <w:r w:rsidR="00A35E5B" w:rsidRPr="00F868F4">
        <w:rPr>
          <w:bCs/>
          <w:sz w:val="28"/>
          <w:szCs w:val="28"/>
          <w:lang w:eastAsia="es-ES"/>
        </w:rPr>
        <w:t>Para solventar los vicios detectados, el proyecto declaraba la inconstitucionalidad de algunas porciones</w:t>
      </w:r>
      <w:r w:rsidR="008C751F" w:rsidRPr="00F868F4">
        <w:rPr>
          <w:rStyle w:val="Refdenotaalpie"/>
          <w:bCs/>
          <w:sz w:val="28"/>
          <w:szCs w:val="28"/>
          <w:lang w:eastAsia="es-ES"/>
        </w:rPr>
        <w:footnoteReference w:id="74"/>
      </w:r>
      <w:r w:rsidR="008C751F" w:rsidRPr="00F868F4">
        <w:rPr>
          <w:bCs/>
          <w:sz w:val="28"/>
          <w:szCs w:val="28"/>
          <w:lang w:eastAsia="es-ES"/>
        </w:rPr>
        <w:t>.</w:t>
      </w:r>
    </w:p>
    <w:p w14:paraId="7FA56E3F" w14:textId="4674789B" w:rsidR="00653A11" w:rsidRDefault="00377023" w:rsidP="00256BC4">
      <w:pPr>
        <w:pStyle w:val="Prrafo"/>
        <w:numPr>
          <w:ilvl w:val="0"/>
          <w:numId w:val="1"/>
        </w:numPr>
        <w:ind w:left="0" w:hanging="567"/>
        <w:rPr>
          <w:sz w:val="28"/>
          <w:szCs w:val="28"/>
        </w:rPr>
      </w:pPr>
      <w:r w:rsidRPr="00F868F4">
        <w:rPr>
          <w:sz w:val="28"/>
          <w:szCs w:val="28"/>
        </w:rPr>
        <w:lastRenderedPageBreak/>
        <w:t>Sin embargo,</w:t>
      </w:r>
      <w:r w:rsidR="00AE5C14" w:rsidRPr="00F868F4">
        <w:rPr>
          <w:sz w:val="28"/>
          <w:szCs w:val="28"/>
        </w:rPr>
        <w:t xml:space="preserve"> </w:t>
      </w:r>
      <w:r w:rsidR="007F1A3B" w:rsidRPr="00F868F4">
        <w:rPr>
          <w:sz w:val="28"/>
          <w:szCs w:val="28"/>
        </w:rPr>
        <w:t>la propuesta</w:t>
      </w:r>
      <w:r w:rsidR="00AE5C14" w:rsidRPr="00F868F4">
        <w:rPr>
          <w:sz w:val="28"/>
          <w:szCs w:val="28"/>
        </w:rPr>
        <w:t xml:space="preserve"> únicamente </w:t>
      </w:r>
      <w:r w:rsidR="00E9451C" w:rsidRPr="00F868F4">
        <w:rPr>
          <w:sz w:val="28"/>
          <w:szCs w:val="28"/>
        </w:rPr>
        <w:t xml:space="preserve">obtuvo </w:t>
      </w:r>
      <w:r w:rsidR="005D55B1" w:rsidRPr="00F868F4">
        <w:rPr>
          <w:sz w:val="28"/>
          <w:szCs w:val="28"/>
        </w:rPr>
        <w:t>un</w:t>
      </w:r>
      <w:r w:rsidR="00E9451C" w:rsidRPr="00F868F4">
        <w:rPr>
          <w:sz w:val="28"/>
          <w:szCs w:val="28"/>
        </w:rPr>
        <w:t xml:space="preserve"> respaldo</w:t>
      </w:r>
      <w:r w:rsidR="005D55B1" w:rsidRPr="00F868F4">
        <w:rPr>
          <w:sz w:val="28"/>
          <w:szCs w:val="28"/>
        </w:rPr>
        <w:t xml:space="preserve"> de cinco votos</w:t>
      </w:r>
      <w:r w:rsidR="00653A11">
        <w:rPr>
          <w:sz w:val="28"/>
          <w:szCs w:val="28"/>
        </w:rPr>
        <w:t xml:space="preserve">, de manera que, al no obtener la votación calificada exigida constitucionalmente, se </w:t>
      </w:r>
      <w:r w:rsidR="00653A11" w:rsidRPr="00653A11">
        <w:rPr>
          <w:b/>
          <w:bCs/>
          <w:sz w:val="28"/>
          <w:szCs w:val="28"/>
        </w:rPr>
        <w:t>desestimó</w:t>
      </w:r>
      <w:r w:rsidR="00653A11">
        <w:rPr>
          <w:sz w:val="28"/>
          <w:szCs w:val="28"/>
        </w:rPr>
        <w:t xml:space="preserve"> en este punto</w:t>
      </w:r>
      <w:r w:rsidR="00653A11" w:rsidRPr="00F868F4">
        <w:rPr>
          <w:rStyle w:val="Refdenotaalpie"/>
          <w:sz w:val="28"/>
          <w:szCs w:val="28"/>
        </w:rPr>
        <w:footnoteReference w:id="75"/>
      </w:r>
      <w:r w:rsidR="00653A11">
        <w:rPr>
          <w:sz w:val="28"/>
          <w:szCs w:val="28"/>
        </w:rPr>
        <w:t>.</w:t>
      </w:r>
    </w:p>
    <w:p w14:paraId="0253B23C" w14:textId="3B080AC8" w:rsidR="00B97018" w:rsidRPr="005C1810" w:rsidRDefault="00E9451C">
      <w:pPr>
        <w:pStyle w:val="Prrafo"/>
        <w:numPr>
          <w:ilvl w:val="0"/>
          <w:numId w:val="1"/>
        </w:numPr>
        <w:ind w:left="0" w:hanging="567"/>
        <w:rPr>
          <w:sz w:val="28"/>
          <w:szCs w:val="28"/>
        </w:rPr>
      </w:pPr>
      <w:r w:rsidRPr="005C1810">
        <w:rPr>
          <w:sz w:val="28"/>
          <w:szCs w:val="28"/>
        </w:rPr>
        <w:t xml:space="preserve"> </w:t>
      </w:r>
      <w:r w:rsidR="00B97018" w:rsidRPr="005C1810">
        <w:rPr>
          <w:sz w:val="28"/>
          <w:szCs w:val="28"/>
        </w:rPr>
        <w:t xml:space="preserve">De lo expuesto se tiene que </w:t>
      </w:r>
      <w:r w:rsidR="00BE577A" w:rsidRPr="005C1810">
        <w:rPr>
          <w:sz w:val="28"/>
          <w:szCs w:val="28"/>
        </w:rPr>
        <w:t>esta Suprema Corte</w:t>
      </w:r>
      <w:r w:rsidR="00B97018" w:rsidRPr="005C1810">
        <w:rPr>
          <w:sz w:val="28"/>
          <w:szCs w:val="28"/>
        </w:rPr>
        <w:t xml:space="preserve"> no ha adoptado </w:t>
      </w:r>
      <w:r w:rsidR="00B22D14" w:rsidRPr="005C1810">
        <w:rPr>
          <w:sz w:val="28"/>
          <w:szCs w:val="28"/>
        </w:rPr>
        <w:t xml:space="preserve">un criterio jurisprudencial derivado de un precedente obligatorio respecto a la aplicabilidad </w:t>
      </w:r>
      <w:r w:rsidR="00076294" w:rsidRPr="005C1810">
        <w:rPr>
          <w:sz w:val="28"/>
          <w:szCs w:val="28"/>
        </w:rPr>
        <w:t>del mandato constitucional de paridad de género en los procesos de renovación de la titularidad del Poder Ejecutivo de las entidades federativas</w:t>
      </w:r>
      <w:r w:rsidR="00E83EE1" w:rsidRPr="00F868F4">
        <w:rPr>
          <w:rStyle w:val="Refdenotaalpie"/>
          <w:sz w:val="28"/>
          <w:szCs w:val="28"/>
        </w:rPr>
        <w:footnoteReference w:id="76"/>
      </w:r>
      <w:r w:rsidR="00076294" w:rsidRPr="005C1810">
        <w:rPr>
          <w:sz w:val="28"/>
          <w:szCs w:val="28"/>
        </w:rPr>
        <w:t>.</w:t>
      </w:r>
      <w:r w:rsidR="0027251E" w:rsidRPr="005C1810">
        <w:rPr>
          <w:sz w:val="28"/>
          <w:szCs w:val="28"/>
        </w:rPr>
        <w:t xml:space="preserve"> </w:t>
      </w:r>
      <w:r w:rsidR="00BE577A" w:rsidRPr="005C1810">
        <w:rPr>
          <w:sz w:val="28"/>
          <w:szCs w:val="28"/>
        </w:rPr>
        <w:t>Los integrantes del Pleno se dividen en dos posturas</w:t>
      </w:r>
      <w:r w:rsidR="001E313E" w:rsidRPr="005C1810">
        <w:rPr>
          <w:sz w:val="28"/>
          <w:szCs w:val="28"/>
        </w:rPr>
        <w:t xml:space="preserve">: </w:t>
      </w:r>
      <w:r w:rsidR="001E313E" w:rsidRPr="005C1810">
        <w:rPr>
          <w:b/>
          <w:bCs/>
          <w:sz w:val="28"/>
          <w:szCs w:val="28"/>
        </w:rPr>
        <w:t>i)</w:t>
      </w:r>
      <w:r w:rsidR="00BD4DA1" w:rsidRPr="005C1810">
        <w:rPr>
          <w:sz w:val="28"/>
          <w:szCs w:val="28"/>
        </w:rPr>
        <w:t xml:space="preserve"> una que considera que hay una exigencia constitucional de </w:t>
      </w:r>
      <w:r w:rsidR="0055300E" w:rsidRPr="005C1810">
        <w:rPr>
          <w:sz w:val="28"/>
          <w:szCs w:val="28"/>
        </w:rPr>
        <w:t xml:space="preserve">adoptar la </w:t>
      </w:r>
      <w:r w:rsidR="001E313E" w:rsidRPr="005C1810">
        <w:rPr>
          <w:sz w:val="28"/>
          <w:szCs w:val="28"/>
        </w:rPr>
        <w:t>legislación</w:t>
      </w:r>
      <w:r w:rsidR="0055300E" w:rsidRPr="005C1810">
        <w:rPr>
          <w:sz w:val="28"/>
          <w:szCs w:val="28"/>
        </w:rPr>
        <w:t xml:space="preserve"> que garantice</w:t>
      </w:r>
      <w:r w:rsidR="00BD4DA1" w:rsidRPr="005C1810">
        <w:rPr>
          <w:sz w:val="28"/>
          <w:szCs w:val="28"/>
        </w:rPr>
        <w:t xml:space="preserve"> la paridad de género respecto a las gubernaturas</w:t>
      </w:r>
      <w:r w:rsidR="001E313E" w:rsidRPr="005C1810">
        <w:rPr>
          <w:sz w:val="28"/>
          <w:szCs w:val="28"/>
        </w:rPr>
        <w:t xml:space="preserve">, </w:t>
      </w:r>
      <w:r w:rsidR="00A62DAD" w:rsidRPr="005C1810">
        <w:rPr>
          <w:sz w:val="28"/>
          <w:szCs w:val="28"/>
        </w:rPr>
        <w:t>y</w:t>
      </w:r>
      <w:r w:rsidR="001E313E" w:rsidRPr="005C1810">
        <w:rPr>
          <w:sz w:val="28"/>
          <w:szCs w:val="28"/>
        </w:rPr>
        <w:t xml:space="preserve"> </w:t>
      </w:r>
      <w:r w:rsidR="001E313E" w:rsidRPr="005C1810">
        <w:rPr>
          <w:b/>
          <w:bCs/>
          <w:sz w:val="28"/>
          <w:szCs w:val="28"/>
        </w:rPr>
        <w:t>ii)</w:t>
      </w:r>
      <w:r w:rsidR="00A62DAD" w:rsidRPr="005C1810">
        <w:rPr>
          <w:sz w:val="28"/>
          <w:szCs w:val="28"/>
        </w:rPr>
        <w:t xml:space="preserve"> otra que</w:t>
      </w:r>
      <w:r w:rsidR="00D65890" w:rsidRPr="005C1810">
        <w:rPr>
          <w:sz w:val="28"/>
          <w:szCs w:val="28"/>
        </w:rPr>
        <w:t xml:space="preserve"> entiende que no hay un mandato en ese sentido, </w:t>
      </w:r>
      <w:r w:rsidR="001E313E" w:rsidRPr="005C1810">
        <w:rPr>
          <w:sz w:val="28"/>
          <w:szCs w:val="28"/>
        </w:rPr>
        <w:t>sino</w:t>
      </w:r>
      <w:r w:rsidR="00D65890" w:rsidRPr="005C1810">
        <w:rPr>
          <w:sz w:val="28"/>
          <w:szCs w:val="28"/>
        </w:rPr>
        <w:t xml:space="preserve"> que la regulación </w:t>
      </w:r>
      <w:r w:rsidR="003769B2" w:rsidRPr="005C1810">
        <w:rPr>
          <w:sz w:val="28"/>
          <w:szCs w:val="28"/>
        </w:rPr>
        <w:t>de la paridad para ese cargo unipersonal queda comprendida en el ámbito de libertad de configuración normativa</w:t>
      </w:r>
      <w:r w:rsidR="001E313E" w:rsidRPr="005C1810">
        <w:rPr>
          <w:sz w:val="28"/>
          <w:szCs w:val="28"/>
        </w:rPr>
        <w:t>.</w:t>
      </w:r>
    </w:p>
    <w:p w14:paraId="487CB74B" w14:textId="47DE3A92" w:rsidR="00DC1536" w:rsidRDefault="009D1464" w:rsidP="00256BC4">
      <w:pPr>
        <w:pStyle w:val="Prrafo"/>
        <w:numPr>
          <w:ilvl w:val="0"/>
          <w:numId w:val="1"/>
        </w:numPr>
        <w:ind w:left="0" w:hanging="567"/>
        <w:rPr>
          <w:sz w:val="28"/>
          <w:szCs w:val="28"/>
        </w:rPr>
      </w:pPr>
      <w:r w:rsidRPr="00F868F4">
        <w:rPr>
          <w:sz w:val="28"/>
          <w:szCs w:val="28"/>
        </w:rPr>
        <w:t xml:space="preserve">A mayoría de razón, </w:t>
      </w:r>
      <w:r w:rsidR="004B3318" w:rsidRPr="00F868F4">
        <w:rPr>
          <w:sz w:val="28"/>
          <w:szCs w:val="28"/>
        </w:rPr>
        <w:t xml:space="preserve">tampoco existe un criterio vinculante en el sentido de que el mandato de paridad de género </w:t>
      </w:r>
      <w:r w:rsidR="00B721DD" w:rsidRPr="00F868F4">
        <w:rPr>
          <w:sz w:val="28"/>
          <w:szCs w:val="28"/>
        </w:rPr>
        <w:t xml:space="preserve">aplicado a las gubernaturas se </w:t>
      </w:r>
      <w:r w:rsidR="00240D10" w:rsidRPr="00F868F4">
        <w:rPr>
          <w:sz w:val="28"/>
          <w:szCs w:val="28"/>
        </w:rPr>
        <w:t>traduzca</w:t>
      </w:r>
      <w:r w:rsidR="00B721DD" w:rsidRPr="00F868F4">
        <w:rPr>
          <w:sz w:val="28"/>
          <w:szCs w:val="28"/>
        </w:rPr>
        <w:t xml:space="preserve"> en el deber de adoptar una regla de alternancia de género por periodo electivo, ya sea en las postulaciones o en el acceso al cargo.</w:t>
      </w:r>
    </w:p>
    <w:p w14:paraId="652E20A3" w14:textId="77777777" w:rsidR="00FD38B0" w:rsidRDefault="00FD38B0" w:rsidP="00FD38B0">
      <w:pPr>
        <w:pStyle w:val="Prrafo"/>
        <w:rPr>
          <w:sz w:val="28"/>
          <w:szCs w:val="28"/>
        </w:rPr>
      </w:pPr>
    </w:p>
    <w:p w14:paraId="61C3B5AF" w14:textId="77777777" w:rsidR="00FD38B0" w:rsidRPr="00F868F4" w:rsidRDefault="00FD38B0" w:rsidP="00FD38B0">
      <w:pPr>
        <w:pStyle w:val="Prrafo"/>
        <w:rPr>
          <w:sz w:val="28"/>
          <w:szCs w:val="28"/>
        </w:rPr>
      </w:pPr>
    </w:p>
    <w:p w14:paraId="1C8E7DCA" w14:textId="77777777" w:rsidR="00E83EE1" w:rsidRPr="0000197A" w:rsidRDefault="00E83EE1" w:rsidP="00E83EE1">
      <w:pPr>
        <w:pStyle w:val="Prrafo"/>
        <w:jc w:val="center"/>
        <w:rPr>
          <w:b/>
          <w:bCs/>
          <w:sz w:val="28"/>
          <w:szCs w:val="28"/>
        </w:rPr>
      </w:pPr>
      <w:r w:rsidRPr="0000197A">
        <w:rPr>
          <w:b/>
          <w:sz w:val="28"/>
          <w:szCs w:val="28"/>
          <w:lang w:eastAsia="es-ES"/>
        </w:rPr>
        <w:lastRenderedPageBreak/>
        <w:t>B)</w:t>
      </w:r>
      <w:r w:rsidRPr="0000197A">
        <w:rPr>
          <w:b/>
          <w:i/>
          <w:iCs/>
          <w:sz w:val="28"/>
          <w:szCs w:val="28"/>
          <w:lang w:eastAsia="es-ES"/>
        </w:rPr>
        <w:t xml:space="preserve"> </w:t>
      </w:r>
      <w:r w:rsidRPr="0000197A">
        <w:rPr>
          <w:b/>
          <w:sz w:val="28"/>
          <w:szCs w:val="28"/>
          <w:lang w:eastAsia="es-ES"/>
        </w:rPr>
        <w:t>Análisis de constitucionalidad del decreto impugnado</w:t>
      </w:r>
    </w:p>
    <w:p w14:paraId="13B759EF" w14:textId="5B346ECE" w:rsidR="00E83EE1" w:rsidRPr="00F868F4" w:rsidRDefault="00CD2F6E" w:rsidP="00256BC4">
      <w:pPr>
        <w:pStyle w:val="Prrafo"/>
        <w:numPr>
          <w:ilvl w:val="0"/>
          <w:numId w:val="1"/>
        </w:numPr>
        <w:ind w:left="0" w:hanging="567"/>
        <w:rPr>
          <w:sz w:val="28"/>
          <w:szCs w:val="28"/>
        </w:rPr>
      </w:pPr>
      <w:r w:rsidRPr="00F868F4">
        <w:rPr>
          <w:sz w:val="28"/>
          <w:szCs w:val="28"/>
        </w:rPr>
        <w:t>E</w:t>
      </w:r>
      <w:r w:rsidR="00370543" w:rsidRPr="00F868F4">
        <w:rPr>
          <w:sz w:val="28"/>
          <w:szCs w:val="28"/>
        </w:rPr>
        <w:t xml:space="preserve">l partido promovente sostiene que </w:t>
      </w:r>
      <w:r w:rsidR="00366EF0" w:rsidRPr="00F868F4">
        <w:rPr>
          <w:sz w:val="28"/>
          <w:szCs w:val="28"/>
        </w:rPr>
        <w:t xml:space="preserve">en la próxima elección se debe elegir a una mujer como Gobernadora, </w:t>
      </w:r>
      <w:r w:rsidR="00E23BCE" w:rsidRPr="00F868F4">
        <w:rPr>
          <w:sz w:val="28"/>
          <w:szCs w:val="28"/>
        </w:rPr>
        <w:t>por lo</w:t>
      </w:r>
      <w:r w:rsidR="00366EF0" w:rsidRPr="00F868F4">
        <w:rPr>
          <w:sz w:val="28"/>
          <w:szCs w:val="28"/>
        </w:rPr>
        <w:t xml:space="preserve"> que el decreto impugnado </w:t>
      </w:r>
      <w:r w:rsidR="00902FD3" w:rsidRPr="00F868F4">
        <w:rPr>
          <w:sz w:val="28"/>
          <w:szCs w:val="28"/>
        </w:rPr>
        <w:t>le impediría</w:t>
      </w:r>
      <w:r w:rsidR="007F66F1">
        <w:rPr>
          <w:sz w:val="28"/>
          <w:szCs w:val="28"/>
        </w:rPr>
        <w:t xml:space="preserve"> a esta</w:t>
      </w:r>
      <w:r w:rsidR="00902FD3" w:rsidRPr="00F868F4">
        <w:rPr>
          <w:sz w:val="28"/>
          <w:szCs w:val="28"/>
        </w:rPr>
        <w:t xml:space="preserve"> desempeñar su encargo por el periodo ordinario de seis años</w:t>
      </w:r>
      <w:r w:rsidR="00E74E78" w:rsidRPr="00F868F4">
        <w:rPr>
          <w:sz w:val="28"/>
          <w:szCs w:val="28"/>
        </w:rPr>
        <w:t>, lo cual contraviene el principio de paridad de género y los derechos de participación política de las mujeres.</w:t>
      </w:r>
    </w:p>
    <w:p w14:paraId="3F8DE539" w14:textId="1FD3949B" w:rsidR="00E83EE1" w:rsidRPr="00F868F4" w:rsidRDefault="00750F18" w:rsidP="00256BC4">
      <w:pPr>
        <w:pStyle w:val="Prrafo"/>
        <w:numPr>
          <w:ilvl w:val="0"/>
          <w:numId w:val="1"/>
        </w:numPr>
        <w:ind w:left="0" w:hanging="567"/>
        <w:rPr>
          <w:sz w:val="28"/>
          <w:szCs w:val="28"/>
        </w:rPr>
      </w:pPr>
      <w:r w:rsidRPr="00F868F4">
        <w:rPr>
          <w:sz w:val="28"/>
          <w:szCs w:val="28"/>
        </w:rPr>
        <w:t xml:space="preserve">El concepto de invalidez es </w:t>
      </w:r>
      <w:r w:rsidRPr="00F868F4">
        <w:rPr>
          <w:b/>
          <w:bCs/>
          <w:sz w:val="28"/>
          <w:szCs w:val="28"/>
        </w:rPr>
        <w:t>infundado</w:t>
      </w:r>
      <w:r w:rsidRPr="00F868F4">
        <w:rPr>
          <w:sz w:val="28"/>
          <w:szCs w:val="28"/>
        </w:rPr>
        <w:t>. En primer lugar, porque</w:t>
      </w:r>
      <w:r w:rsidR="002452EB" w:rsidRPr="00F868F4">
        <w:rPr>
          <w:sz w:val="28"/>
          <w:szCs w:val="28"/>
        </w:rPr>
        <w:t xml:space="preserve"> su argumentación se basa en una premisa fáctica incierta, ya que no se advierte ningún elemento normativo que respalde que en el proceso electoral a celebrarse en el año dos mil veintiocho </w:t>
      </w:r>
      <w:r w:rsidR="003E637B" w:rsidRPr="00F868F4">
        <w:rPr>
          <w:sz w:val="28"/>
          <w:szCs w:val="28"/>
        </w:rPr>
        <w:t>necesariamente resultará electa una mujer.</w:t>
      </w:r>
    </w:p>
    <w:p w14:paraId="36A6D01B" w14:textId="07EF0A67" w:rsidR="001F7C81" w:rsidRPr="00075343" w:rsidRDefault="00155C09">
      <w:pPr>
        <w:pStyle w:val="Prrafo"/>
        <w:numPr>
          <w:ilvl w:val="0"/>
          <w:numId w:val="1"/>
        </w:numPr>
        <w:ind w:left="0" w:hanging="567"/>
        <w:rPr>
          <w:sz w:val="28"/>
          <w:szCs w:val="28"/>
        </w:rPr>
      </w:pPr>
      <w:r w:rsidRPr="00075343">
        <w:rPr>
          <w:sz w:val="28"/>
          <w:szCs w:val="28"/>
        </w:rPr>
        <w:t>E</w:t>
      </w:r>
      <w:r w:rsidR="00AF63EE" w:rsidRPr="00075343">
        <w:rPr>
          <w:sz w:val="28"/>
          <w:szCs w:val="28"/>
        </w:rPr>
        <w:t>s</w:t>
      </w:r>
      <w:r w:rsidRPr="00075343">
        <w:rPr>
          <w:sz w:val="28"/>
          <w:szCs w:val="28"/>
        </w:rPr>
        <w:t xml:space="preserve"> pertinente precisar que</w:t>
      </w:r>
      <w:r w:rsidR="00AF63EE" w:rsidRPr="00075343">
        <w:rPr>
          <w:sz w:val="28"/>
          <w:szCs w:val="28"/>
        </w:rPr>
        <w:t xml:space="preserve"> los acuerdos del Consejo General del Instituto Nacional Electoral y las sentencias de la Sala Superior del Tribunal Electoral del Poder Judicial de la Federación</w:t>
      </w:r>
      <w:r w:rsidR="007A3D48" w:rsidRPr="00075343">
        <w:rPr>
          <w:sz w:val="28"/>
          <w:szCs w:val="28"/>
        </w:rPr>
        <w:t xml:space="preserve"> citados por el accionante</w:t>
      </w:r>
      <w:r w:rsidR="00D65412" w:rsidRPr="00075343">
        <w:rPr>
          <w:sz w:val="28"/>
          <w:szCs w:val="28"/>
        </w:rPr>
        <w:t xml:space="preserve"> en su demanda</w:t>
      </w:r>
      <w:r w:rsidR="008E2DAA" w:rsidRPr="00075343">
        <w:rPr>
          <w:sz w:val="28"/>
          <w:szCs w:val="28"/>
        </w:rPr>
        <w:t xml:space="preserve"> </w:t>
      </w:r>
      <w:r w:rsidR="003135AD" w:rsidRPr="00075343">
        <w:rPr>
          <w:sz w:val="28"/>
          <w:szCs w:val="28"/>
        </w:rPr>
        <w:t xml:space="preserve">no tienen el alcance </w:t>
      </w:r>
      <w:r w:rsidR="00B3530B" w:rsidRPr="00075343">
        <w:rPr>
          <w:sz w:val="28"/>
          <w:szCs w:val="28"/>
        </w:rPr>
        <w:t>pretendido</w:t>
      </w:r>
      <w:r w:rsidR="003135AD" w:rsidRPr="00075343">
        <w:rPr>
          <w:sz w:val="28"/>
          <w:szCs w:val="28"/>
        </w:rPr>
        <w:t xml:space="preserve">, </w:t>
      </w:r>
      <w:r w:rsidR="003135AD" w:rsidRPr="00075343">
        <w:rPr>
          <w:b/>
          <w:bCs/>
          <w:sz w:val="28"/>
          <w:szCs w:val="28"/>
        </w:rPr>
        <w:t>en el sentido</w:t>
      </w:r>
      <w:r w:rsidR="00E93122" w:rsidRPr="00075343">
        <w:rPr>
          <w:b/>
          <w:bCs/>
          <w:sz w:val="28"/>
          <w:szCs w:val="28"/>
        </w:rPr>
        <w:t xml:space="preserve"> de</w:t>
      </w:r>
      <w:r w:rsidR="003135AD" w:rsidRPr="00075343">
        <w:rPr>
          <w:b/>
          <w:bCs/>
          <w:sz w:val="28"/>
          <w:szCs w:val="28"/>
        </w:rPr>
        <w:t xml:space="preserve"> que </w:t>
      </w:r>
      <w:r w:rsidR="0066082B" w:rsidRPr="00075343">
        <w:rPr>
          <w:b/>
          <w:bCs/>
          <w:sz w:val="28"/>
          <w:szCs w:val="28"/>
        </w:rPr>
        <w:t>sustentan</w:t>
      </w:r>
      <w:r w:rsidR="003135AD" w:rsidRPr="00075343">
        <w:rPr>
          <w:b/>
          <w:bCs/>
          <w:sz w:val="28"/>
          <w:szCs w:val="28"/>
        </w:rPr>
        <w:t xml:space="preserve"> que </w:t>
      </w:r>
      <w:r w:rsidR="00603868" w:rsidRPr="00075343">
        <w:rPr>
          <w:b/>
          <w:bCs/>
          <w:sz w:val="28"/>
          <w:szCs w:val="28"/>
        </w:rPr>
        <w:t>en</w:t>
      </w:r>
      <w:r w:rsidR="003135AD" w:rsidRPr="00075343">
        <w:rPr>
          <w:b/>
          <w:bCs/>
          <w:sz w:val="28"/>
          <w:szCs w:val="28"/>
        </w:rPr>
        <w:t xml:space="preserve"> la próxima elección estatal </w:t>
      </w:r>
      <w:r w:rsidR="00603868" w:rsidRPr="00075343">
        <w:rPr>
          <w:b/>
          <w:bCs/>
          <w:sz w:val="28"/>
          <w:szCs w:val="28"/>
        </w:rPr>
        <w:t>debe resultar electa</w:t>
      </w:r>
      <w:r w:rsidR="003135AD" w:rsidRPr="00075343">
        <w:rPr>
          <w:b/>
          <w:bCs/>
          <w:sz w:val="28"/>
          <w:szCs w:val="28"/>
        </w:rPr>
        <w:t xml:space="preserve"> una mujer</w:t>
      </w:r>
      <w:r w:rsidR="00603868" w:rsidRPr="00075343">
        <w:rPr>
          <w:b/>
          <w:bCs/>
          <w:sz w:val="28"/>
          <w:szCs w:val="28"/>
        </w:rPr>
        <w:t xml:space="preserve">, </w:t>
      </w:r>
      <w:r w:rsidR="007629B6" w:rsidRPr="00075343">
        <w:rPr>
          <w:b/>
          <w:bCs/>
          <w:sz w:val="28"/>
          <w:szCs w:val="28"/>
        </w:rPr>
        <w:t>conforme a</w:t>
      </w:r>
      <w:r w:rsidR="00603868" w:rsidRPr="00075343">
        <w:rPr>
          <w:b/>
          <w:bCs/>
          <w:sz w:val="28"/>
          <w:szCs w:val="28"/>
        </w:rPr>
        <w:t xml:space="preserve"> una regla de alternancia de género por periodo</w:t>
      </w:r>
      <w:r w:rsidR="003135AD" w:rsidRPr="00075343">
        <w:rPr>
          <w:sz w:val="28"/>
          <w:szCs w:val="28"/>
        </w:rPr>
        <w:t>.</w:t>
      </w:r>
    </w:p>
    <w:p w14:paraId="53310FAB" w14:textId="41B04E39" w:rsidR="00CF7C30" w:rsidRPr="00075343" w:rsidRDefault="001E3550">
      <w:pPr>
        <w:pStyle w:val="Prrafo"/>
        <w:numPr>
          <w:ilvl w:val="0"/>
          <w:numId w:val="1"/>
        </w:numPr>
        <w:ind w:left="0" w:hanging="567"/>
        <w:rPr>
          <w:sz w:val="28"/>
          <w:szCs w:val="28"/>
        </w:rPr>
      </w:pPr>
      <w:r w:rsidRPr="00075343">
        <w:rPr>
          <w:sz w:val="28"/>
          <w:szCs w:val="28"/>
        </w:rPr>
        <w:t>Por una parte, si bien</w:t>
      </w:r>
      <w:r w:rsidR="005117C1" w:rsidRPr="00075343">
        <w:rPr>
          <w:sz w:val="28"/>
          <w:szCs w:val="28"/>
        </w:rPr>
        <w:t xml:space="preserve"> en</w:t>
      </w:r>
      <w:r w:rsidRPr="00075343">
        <w:rPr>
          <w:sz w:val="28"/>
          <w:szCs w:val="28"/>
        </w:rPr>
        <w:t xml:space="preserve"> dichas determinaciones </w:t>
      </w:r>
      <w:r w:rsidR="005117C1" w:rsidRPr="00075343">
        <w:rPr>
          <w:sz w:val="28"/>
          <w:szCs w:val="28"/>
        </w:rPr>
        <w:t>se instrumentó</w:t>
      </w:r>
      <w:r w:rsidRPr="00075343">
        <w:rPr>
          <w:sz w:val="28"/>
          <w:szCs w:val="28"/>
        </w:rPr>
        <w:t xml:space="preserve"> y </w:t>
      </w:r>
      <w:r w:rsidR="005117C1" w:rsidRPr="00075343">
        <w:rPr>
          <w:sz w:val="28"/>
          <w:szCs w:val="28"/>
        </w:rPr>
        <w:t>garantizó</w:t>
      </w:r>
      <w:r w:rsidRPr="00075343">
        <w:rPr>
          <w:sz w:val="28"/>
          <w:szCs w:val="28"/>
        </w:rPr>
        <w:t xml:space="preserve"> el cumplimiento </w:t>
      </w:r>
      <w:r w:rsidR="009D2164" w:rsidRPr="00075343">
        <w:rPr>
          <w:sz w:val="28"/>
          <w:szCs w:val="28"/>
        </w:rPr>
        <w:t>del principio de paridad de género en procesos electoral</w:t>
      </w:r>
      <w:r w:rsidR="005117C1" w:rsidRPr="00075343">
        <w:rPr>
          <w:sz w:val="28"/>
          <w:szCs w:val="28"/>
        </w:rPr>
        <w:t>es</w:t>
      </w:r>
      <w:r w:rsidR="00A072DD" w:rsidRPr="00075343">
        <w:rPr>
          <w:sz w:val="28"/>
          <w:szCs w:val="28"/>
        </w:rPr>
        <w:t xml:space="preserve"> </w:t>
      </w:r>
      <w:r w:rsidR="009D2164" w:rsidRPr="00075343">
        <w:rPr>
          <w:sz w:val="28"/>
          <w:szCs w:val="28"/>
        </w:rPr>
        <w:t>que ya se celebraron,</w:t>
      </w:r>
      <w:r w:rsidR="007C505D" w:rsidRPr="00075343">
        <w:rPr>
          <w:sz w:val="28"/>
          <w:szCs w:val="28"/>
        </w:rPr>
        <w:t xml:space="preserve"> </w:t>
      </w:r>
      <w:r w:rsidR="007C505D" w:rsidRPr="00075343">
        <w:rPr>
          <w:b/>
          <w:bCs/>
          <w:sz w:val="28"/>
          <w:szCs w:val="28"/>
        </w:rPr>
        <w:t>solamente</w:t>
      </w:r>
      <w:r w:rsidR="009D2164" w:rsidRPr="00075343">
        <w:rPr>
          <w:sz w:val="28"/>
          <w:szCs w:val="28"/>
        </w:rPr>
        <w:t xml:space="preserve"> </w:t>
      </w:r>
      <w:r w:rsidR="00C93122" w:rsidRPr="00075343">
        <w:rPr>
          <w:b/>
          <w:bCs/>
          <w:sz w:val="28"/>
          <w:szCs w:val="28"/>
        </w:rPr>
        <w:t xml:space="preserve">se estableció </w:t>
      </w:r>
      <w:r w:rsidR="00FA1012" w:rsidRPr="00075343">
        <w:rPr>
          <w:b/>
          <w:bCs/>
          <w:sz w:val="28"/>
          <w:szCs w:val="28"/>
          <w:u w:val="single"/>
        </w:rPr>
        <w:t>la obligación</w:t>
      </w:r>
      <w:r w:rsidR="00C93122" w:rsidRPr="00075343">
        <w:rPr>
          <w:b/>
          <w:bCs/>
          <w:sz w:val="28"/>
          <w:szCs w:val="28"/>
          <w:u w:val="single"/>
        </w:rPr>
        <w:t xml:space="preserve"> de los partidos políticos de observar el mandato de paridad </w:t>
      </w:r>
      <w:r w:rsidR="009F78D3" w:rsidRPr="00075343">
        <w:rPr>
          <w:b/>
          <w:bCs/>
          <w:sz w:val="28"/>
          <w:szCs w:val="28"/>
          <w:u w:val="single"/>
        </w:rPr>
        <w:t>desde una dimensión horizontal</w:t>
      </w:r>
      <w:r w:rsidR="009F78D3" w:rsidRPr="00075343">
        <w:rPr>
          <w:b/>
          <w:bCs/>
          <w:sz w:val="28"/>
          <w:szCs w:val="28"/>
        </w:rPr>
        <w:t>, lo que implicó</w:t>
      </w:r>
      <w:r w:rsidR="00FF6466" w:rsidRPr="00075343">
        <w:rPr>
          <w:b/>
          <w:bCs/>
          <w:sz w:val="28"/>
          <w:szCs w:val="28"/>
        </w:rPr>
        <w:t xml:space="preserve"> </w:t>
      </w:r>
      <w:r w:rsidR="00D2256D" w:rsidRPr="00075343">
        <w:rPr>
          <w:b/>
          <w:bCs/>
          <w:sz w:val="28"/>
          <w:szCs w:val="28"/>
        </w:rPr>
        <w:t xml:space="preserve">que debían postular </w:t>
      </w:r>
      <w:r w:rsidR="00EF23CC" w:rsidRPr="00075343">
        <w:rPr>
          <w:b/>
          <w:bCs/>
          <w:sz w:val="28"/>
          <w:szCs w:val="28"/>
        </w:rPr>
        <w:t xml:space="preserve">a mujeres </w:t>
      </w:r>
      <w:r w:rsidR="00616F99" w:rsidRPr="00075343">
        <w:rPr>
          <w:b/>
          <w:bCs/>
          <w:sz w:val="28"/>
          <w:szCs w:val="28"/>
        </w:rPr>
        <w:t>en</w:t>
      </w:r>
      <w:r w:rsidR="00EF23CC" w:rsidRPr="00075343">
        <w:rPr>
          <w:b/>
          <w:bCs/>
          <w:sz w:val="28"/>
          <w:szCs w:val="28"/>
        </w:rPr>
        <w:t xml:space="preserve"> al menos la mitad</w:t>
      </w:r>
      <w:r w:rsidR="00616F99" w:rsidRPr="00075343">
        <w:rPr>
          <w:b/>
          <w:bCs/>
          <w:sz w:val="28"/>
          <w:szCs w:val="28"/>
        </w:rPr>
        <w:t xml:space="preserve"> de</w:t>
      </w:r>
      <w:r w:rsidR="008E4E8D" w:rsidRPr="00075343">
        <w:rPr>
          <w:b/>
          <w:bCs/>
          <w:sz w:val="28"/>
          <w:szCs w:val="28"/>
        </w:rPr>
        <w:t xml:space="preserve"> candidaturas para </w:t>
      </w:r>
      <w:r w:rsidR="002757A2" w:rsidRPr="00075343">
        <w:rPr>
          <w:b/>
          <w:bCs/>
          <w:sz w:val="28"/>
          <w:szCs w:val="28"/>
        </w:rPr>
        <w:t>los procesos de</w:t>
      </w:r>
      <w:r w:rsidR="00EF23CC" w:rsidRPr="00075343">
        <w:rPr>
          <w:b/>
          <w:bCs/>
          <w:sz w:val="28"/>
          <w:szCs w:val="28"/>
        </w:rPr>
        <w:t xml:space="preserve"> </w:t>
      </w:r>
      <w:r w:rsidR="00EF23CC" w:rsidRPr="00075343">
        <w:rPr>
          <w:b/>
          <w:bCs/>
          <w:sz w:val="28"/>
          <w:szCs w:val="28"/>
        </w:rPr>
        <w:lastRenderedPageBreak/>
        <w:t xml:space="preserve">las gubernaturas que se </w:t>
      </w:r>
      <w:r w:rsidR="002757A2" w:rsidRPr="00075343">
        <w:rPr>
          <w:b/>
          <w:bCs/>
          <w:sz w:val="28"/>
          <w:szCs w:val="28"/>
        </w:rPr>
        <w:t>renovarían</w:t>
      </w:r>
      <w:r w:rsidR="00616F99" w:rsidRPr="00075343">
        <w:rPr>
          <w:b/>
          <w:bCs/>
          <w:sz w:val="28"/>
          <w:szCs w:val="28"/>
        </w:rPr>
        <w:t xml:space="preserve"> simultáneamente</w:t>
      </w:r>
      <w:r w:rsidR="00C73776" w:rsidRPr="00075343">
        <w:rPr>
          <w:b/>
          <w:bCs/>
          <w:sz w:val="28"/>
          <w:szCs w:val="28"/>
        </w:rPr>
        <w:t xml:space="preserve">, observando </w:t>
      </w:r>
      <w:r w:rsidR="00980023" w:rsidRPr="00075343">
        <w:rPr>
          <w:b/>
          <w:bCs/>
          <w:sz w:val="28"/>
          <w:szCs w:val="28"/>
        </w:rPr>
        <w:t>criterios de competitividad</w:t>
      </w:r>
      <w:r w:rsidR="000806AC" w:rsidRPr="00075343">
        <w:rPr>
          <w:rStyle w:val="Refdenotaalpie"/>
          <w:sz w:val="28"/>
          <w:szCs w:val="28"/>
        </w:rPr>
        <w:footnoteReference w:id="77"/>
      </w:r>
      <w:r w:rsidR="00616F99" w:rsidRPr="00075343">
        <w:rPr>
          <w:sz w:val="28"/>
          <w:szCs w:val="28"/>
        </w:rPr>
        <w:t>.</w:t>
      </w:r>
    </w:p>
    <w:p w14:paraId="612D4ABE" w14:textId="367F37E0" w:rsidR="00EA65E1" w:rsidRDefault="00EA65E1">
      <w:pPr>
        <w:pStyle w:val="Prrafo"/>
        <w:numPr>
          <w:ilvl w:val="0"/>
          <w:numId w:val="1"/>
        </w:numPr>
        <w:ind w:left="0" w:hanging="567"/>
        <w:rPr>
          <w:sz w:val="28"/>
          <w:szCs w:val="28"/>
        </w:rPr>
      </w:pPr>
      <w:r w:rsidRPr="00075343">
        <w:rPr>
          <w:sz w:val="28"/>
          <w:szCs w:val="28"/>
        </w:rPr>
        <w:t xml:space="preserve">Por </w:t>
      </w:r>
      <w:r w:rsidR="00783168" w:rsidRPr="00075343">
        <w:rPr>
          <w:sz w:val="28"/>
          <w:szCs w:val="28"/>
        </w:rPr>
        <w:t>otra</w:t>
      </w:r>
      <w:r w:rsidRPr="00075343">
        <w:rPr>
          <w:sz w:val="28"/>
          <w:szCs w:val="28"/>
        </w:rPr>
        <w:t>, la Sala Superior del Tribunal Electoral ha</w:t>
      </w:r>
      <w:r w:rsidR="00AB0D1D" w:rsidRPr="00075343">
        <w:rPr>
          <w:sz w:val="28"/>
          <w:szCs w:val="28"/>
        </w:rPr>
        <w:t xml:space="preserve"> dictado sentencias en las que ha tenido por actualizadas </w:t>
      </w:r>
      <w:r w:rsidR="00AB0D1D" w:rsidRPr="00075343">
        <w:rPr>
          <w:b/>
          <w:bCs/>
          <w:sz w:val="28"/>
          <w:szCs w:val="28"/>
        </w:rPr>
        <w:t>omisiones legislativas</w:t>
      </w:r>
      <w:r w:rsidR="00AB0D1D" w:rsidRPr="00075343">
        <w:rPr>
          <w:sz w:val="28"/>
          <w:szCs w:val="28"/>
        </w:rPr>
        <w:t xml:space="preserve"> respecto a la garantía del principio de paridad de género </w:t>
      </w:r>
      <w:r w:rsidR="002174D6" w:rsidRPr="00075343">
        <w:rPr>
          <w:sz w:val="28"/>
          <w:szCs w:val="28"/>
        </w:rPr>
        <w:t>en</w:t>
      </w:r>
      <w:r w:rsidR="00C3719E" w:rsidRPr="00075343">
        <w:rPr>
          <w:sz w:val="28"/>
          <w:szCs w:val="28"/>
        </w:rPr>
        <w:t xml:space="preserve"> relación con las gubernaturas de las entidades federativas, por lo que ha vinculado al Congreso de la Unión, a las legislaturas estatales y a los partidos políticos </w:t>
      </w:r>
      <w:r w:rsidR="00223AAE" w:rsidRPr="00075343">
        <w:rPr>
          <w:sz w:val="28"/>
          <w:szCs w:val="28"/>
        </w:rPr>
        <w:t xml:space="preserve">para que emitan la regulación </w:t>
      </w:r>
      <w:r w:rsidR="000725DD" w:rsidRPr="00075343">
        <w:rPr>
          <w:sz w:val="28"/>
          <w:szCs w:val="28"/>
        </w:rPr>
        <w:t>que asegure</w:t>
      </w:r>
      <w:r w:rsidR="003E4270" w:rsidRPr="00075343">
        <w:rPr>
          <w:sz w:val="28"/>
          <w:szCs w:val="28"/>
        </w:rPr>
        <w:t xml:space="preserve"> una postulación</w:t>
      </w:r>
      <w:r w:rsidR="005613D0" w:rsidRPr="00075343">
        <w:rPr>
          <w:sz w:val="28"/>
          <w:szCs w:val="28"/>
        </w:rPr>
        <w:t xml:space="preserve"> paritaria</w:t>
      </w:r>
      <w:r w:rsidR="003E4270" w:rsidRPr="00075343">
        <w:rPr>
          <w:sz w:val="28"/>
          <w:szCs w:val="28"/>
        </w:rPr>
        <w:t xml:space="preserve"> en los procesos para esos cargos de elección popular</w:t>
      </w:r>
      <w:r w:rsidR="00690D83" w:rsidRPr="00075343">
        <w:rPr>
          <w:rStyle w:val="Refdenotaalpie"/>
          <w:sz w:val="28"/>
          <w:szCs w:val="28"/>
        </w:rPr>
        <w:footnoteReference w:id="78"/>
      </w:r>
      <w:r w:rsidR="003E4270" w:rsidRPr="00075343">
        <w:rPr>
          <w:sz w:val="28"/>
          <w:szCs w:val="28"/>
        </w:rPr>
        <w:t>.</w:t>
      </w:r>
      <w:r w:rsidR="00443790" w:rsidRPr="00075343">
        <w:rPr>
          <w:sz w:val="28"/>
          <w:szCs w:val="28"/>
        </w:rPr>
        <w:t xml:space="preserve"> Sin embargo,</w:t>
      </w:r>
      <w:r w:rsidR="00DB15BA" w:rsidRPr="00075343">
        <w:rPr>
          <w:sz w:val="28"/>
          <w:szCs w:val="28"/>
        </w:rPr>
        <w:t xml:space="preserve"> dicho órgano jurisdiccional</w:t>
      </w:r>
      <w:r w:rsidR="00443790" w:rsidRPr="00075343">
        <w:rPr>
          <w:sz w:val="28"/>
          <w:szCs w:val="28"/>
        </w:rPr>
        <w:t xml:space="preserve"> también ha determinado </w:t>
      </w:r>
      <w:r w:rsidR="00831ECC" w:rsidRPr="00075343">
        <w:rPr>
          <w:sz w:val="28"/>
          <w:szCs w:val="28"/>
        </w:rPr>
        <w:t xml:space="preserve">que </w:t>
      </w:r>
      <w:r w:rsidR="00177240" w:rsidRPr="00075343">
        <w:rPr>
          <w:sz w:val="28"/>
          <w:szCs w:val="28"/>
        </w:rPr>
        <w:t xml:space="preserve">las entidades federativas cuentan </w:t>
      </w:r>
      <w:r w:rsidR="00BB6634" w:rsidRPr="00075343">
        <w:rPr>
          <w:sz w:val="28"/>
          <w:szCs w:val="28"/>
        </w:rPr>
        <w:t xml:space="preserve">con libertad de configuración </w:t>
      </w:r>
      <w:r w:rsidR="008928E2" w:rsidRPr="00075343">
        <w:rPr>
          <w:sz w:val="28"/>
          <w:szCs w:val="28"/>
        </w:rPr>
        <w:t>sobre este aspecto</w:t>
      </w:r>
      <w:r w:rsidR="00277D63" w:rsidRPr="00075343">
        <w:rPr>
          <w:sz w:val="28"/>
          <w:szCs w:val="28"/>
        </w:rPr>
        <w:t xml:space="preserve">, e incluso ha considerado que del mandato de paridad de género no se sigue que necesariamente deban implementar una </w:t>
      </w:r>
      <w:r w:rsidR="00021057" w:rsidRPr="00075343">
        <w:rPr>
          <w:sz w:val="28"/>
          <w:szCs w:val="28"/>
        </w:rPr>
        <w:t>medida que garantice la alternancia de género por periodo electivo</w:t>
      </w:r>
      <w:r w:rsidR="0041106C" w:rsidRPr="00075343">
        <w:rPr>
          <w:rStyle w:val="Refdenotaalpie"/>
          <w:sz w:val="28"/>
          <w:szCs w:val="28"/>
        </w:rPr>
        <w:footnoteReference w:id="79"/>
      </w:r>
      <w:r w:rsidR="00021057" w:rsidRPr="00075343">
        <w:rPr>
          <w:sz w:val="28"/>
          <w:szCs w:val="28"/>
        </w:rPr>
        <w:t>.</w:t>
      </w:r>
    </w:p>
    <w:p w14:paraId="659AE156" w14:textId="77777777" w:rsidR="00E33C9F" w:rsidRPr="00075343" w:rsidRDefault="005B1AF9">
      <w:pPr>
        <w:pStyle w:val="Prrafo"/>
        <w:numPr>
          <w:ilvl w:val="0"/>
          <w:numId w:val="1"/>
        </w:numPr>
        <w:ind w:left="0" w:hanging="567"/>
        <w:rPr>
          <w:sz w:val="28"/>
          <w:szCs w:val="28"/>
        </w:rPr>
      </w:pPr>
      <w:r w:rsidRPr="00075343">
        <w:rPr>
          <w:sz w:val="28"/>
          <w:szCs w:val="28"/>
        </w:rPr>
        <w:t xml:space="preserve">Por tanto, </w:t>
      </w:r>
      <w:r w:rsidR="00696933" w:rsidRPr="00075343">
        <w:rPr>
          <w:sz w:val="28"/>
          <w:szCs w:val="28"/>
        </w:rPr>
        <w:t xml:space="preserve">de las decisiones del Consejo General del Instituto Nacional Electoral y del Tribunal Electoral del Poder Judicial de la Federación no </w:t>
      </w:r>
      <w:r w:rsidR="00696933" w:rsidRPr="00075343">
        <w:rPr>
          <w:sz w:val="28"/>
          <w:szCs w:val="28"/>
        </w:rPr>
        <w:lastRenderedPageBreak/>
        <w:t xml:space="preserve">se desprende </w:t>
      </w:r>
      <w:r w:rsidR="000E2B7F" w:rsidRPr="00075343">
        <w:rPr>
          <w:sz w:val="28"/>
          <w:szCs w:val="28"/>
        </w:rPr>
        <w:t>ninguna consideración o vinculación para que en la siguiente elección de la gubernatura del estado de Oaxaca</w:t>
      </w:r>
      <w:r w:rsidR="006E13D5" w:rsidRPr="00075343">
        <w:rPr>
          <w:sz w:val="28"/>
          <w:szCs w:val="28"/>
        </w:rPr>
        <w:t xml:space="preserve"> se adopten medidas </w:t>
      </w:r>
      <w:r w:rsidR="007517C1" w:rsidRPr="00075343">
        <w:rPr>
          <w:sz w:val="28"/>
          <w:szCs w:val="28"/>
        </w:rPr>
        <w:t>que aseguren el acceso de una mujer al encargo.</w:t>
      </w:r>
    </w:p>
    <w:p w14:paraId="1CC94B30" w14:textId="4C98BC00" w:rsidR="00506ACF" w:rsidRPr="00075343" w:rsidRDefault="007554B3">
      <w:pPr>
        <w:pStyle w:val="Prrafo"/>
        <w:numPr>
          <w:ilvl w:val="0"/>
          <w:numId w:val="1"/>
        </w:numPr>
        <w:ind w:left="0" w:hanging="567"/>
        <w:rPr>
          <w:sz w:val="28"/>
          <w:szCs w:val="28"/>
        </w:rPr>
      </w:pPr>
      <w:r w:rsidRPr="00075343">
        <w:rPr>
          <w:sz w:val="28"/>
          <w:szCs w:val="28"/>
        </w:rPr>
        <w:t>En específico, cabe reconocer que al</w:t>
      </w:r>
      <w:r w:rsidR="002C76AD" w:rsidRPr="00075343">
        <w:rPr>
          <w:sz w:val="28"/>
          <w:szCs w:val="28"/>
        </w:rPr>
        <w:t xml:space="preserve"> resolver un </w:t>
      </w:r>
      <w:r w:rsidR="002C76AD" w:rsidRPr="00075343">
        <w:rPr>
          <w:b/>
          <w:bCs/>
          <w:sz w:val="28"/>
          <w:szCs w:val="28"/>
        </w:rPr>
        <w:t xml:space="preserve">incidente </w:t>
      </w:r>
      <w:r w:rsidR="00E33C9F" w:rsidRPr="00075343">
        <w:rPr>
          <w:b/>
          <w:bCs/>
          <w:sz w:val="28"/>
          <w:szCs w:val="28"/>
        </w:rPr>
        <w:t>oficioso</w:t>
      </w:r>
      <w:r w:rsidR="002C76AD" w:rsidRPr="00075343">
        <w:rPr>
          <w:b/>
          <w:bCs/>
          <w:sz w:val="28"/>
          <w:szCs w:val="28"/>
        </w:rPr>
        <w:t xml:space="preserve"> </w:t>
      </w:r>
      <w:r w:rsidR="003F086F" w:rsidRPr="00075343">
        <w:rPr>
          <w:b/>
          <w:bCs/>
          <w:sz w:val="28"/>
          <w:szCs w:val="28"/>
        </w:rPr>
        <w:t xml:space="preserve">de </w:t>
      </w:r>
      <w:r w:rsidR="00E33C9F" w:rsidRPr="00075343">
        <w:rPr>
          <w:b/>
          <w:bCs/>
          <w:sz w:val="28"/>
          <w:szCs w:val="28"/>
        </w:rPr>
        <w:t>inejecución</w:t>
      </w:r>
      <w:r w:rsidR="003F086F" w:rsidRPr="00075343">
        <w:rPr>
          <w:b/>
          <w:bCs/>
          <w:sz w:val="28"/>
          <w:szCs w:val="28"/>
        </w:rPr>
        <w:t xml:space="preserve"> de la sentencia SUP-RAP-116/2020 y acumulados</w:t>
      </w:r>
      <w:r w:rsidR="00EF1D16" w:rsidRPr="00075343">
        <w:rPr>
          <w:rStyle w:val="Refdenotaalpie"/>
          <w:sz w:val="28"/>
          <w:szCs w:val="28"/>
        </w:rPr>
        <w:footnoteReference w:id="80"/>
      </w:r>
      <w:r w:rsidR="003F086F" w:rsidRPr="00075343">
        <w:rPr>
          <w:sz w:val="28"/>
          <w:szCs w:val="28"/>
        </w:rPr>
        <w:t>, la Sala Superior determinó que el estado de Oaxaca ha</w:t>
      </w:r>
      <w:r w:rsidR="001C47A3" w:rsidRPr="00075343">
        <w:rPr>
          <w:sz w:val="28"/>
          <w:szCs w:val="28"/>
        </w:rPr>
        <w:t>bía</w:t>
      </w:r>
      <w:r w:rsidR="003F086F" w:rsidRPr="00075343">
        <w:rPr>
          <w:sz w:val="28"/>
          <w:szCs w:val="28"/>
        </w:rPr>
        <w:t xml:space="preserve"> incumplido </w:t>
      </w:r>
      <w:r w:rsidR="001C47A3" w:rsidRPr="00075343">
        <w:rPr>
          <w:sz w:val="28"/>
          <w:szCs w:val="28"/>
        </w:rPr>
        <w:t>con la vinculación de reformar su normativa para garantizar la postulación paritaria de candidaturas a la gubernatura</w:t>
      </w:r>
      <w:r w:rsidR="00161344" w:rsidRPr="00075343">
        <w:rPr>
          <w:sz w:val="28"/>
          <w:szCs w:val="28"/>
        </w:rPr>
        <w:t xml:space="preserve">. Por tanto, reiteró al Congreso local la orden de cumplir con dicha obligación derivada de la reforma constitucional </w:t>
      </w:r>
      <w:r w:rsidR="00EF1D16" w:rsidRPr="00075343">
        <w:rPr>
          <w:sz w:val="28"/>
          <w:szCs w:val="28"/>
        </w:rPr>
        <w:t>del seis de junio de dos mil diecinueve.</w:t>
      </w:r>
      <w:r w:rsidR="00E83FA5" w:rsidRPr="00075343">
        <w:rPr>
          <w:sz w:val="28"/>
          <w:szCs w:val="28"/>
        </w:rPr>
        <w:t xml:space="preserve"> Sin embargo, tanto en la sentencia principal como en la resolución del incidente de inejecución de sentencia</w:t>
      </w:r>
      <w:r w:rsidR="00B335C9" w:rsidRPr="00075343">
        <w:rPr>
          <w:sz w:val="28"/>
          <w:szCs w:val="28"/>
        </w:rPr>
        <w:t xml:space="preserve"> únicamente ordenó a las </w:t>
      </w:r>
      <w:r w:rsidR="00004821" w:rsidRPr="00075343">
        <w:rPr>
          <w:sz w:val="28"/>
          <w:szCs w:val="28"/>
        </w:rPr>
        <w:t>legislaturas de las entidades federativas que, en el ámbito de sus atribuciones y de su libertad configurativa, regularan la postulación de candidaturas para la elección de la gubernatura en condiciones de paridad.</w:t>
      </w:r>
    </w:p>
    <w:p w14:paraId="1E4F9008" w14:textId="77777777" w:rsidR="004E55C4" w:rsidRPr="00075343" w:rsidRDefault="000179A0" w:rsidP="00D520B3">
      <w:pPr>
        <w:pStyle w:val="Prrafo"/>
        <w:numPr>
          <w:ilvl w:val="0"/>
          <w:numId w:val="1"/>
        </w:numPr>
        <w:ind w:left="0" w:hanging="567"/>
        <w:rPr>
          <w:sz w:val="28"/>
          <w:szCs w:val="28"/>
        </w:rPr>
      </w:pPr>
      <w:r w:rsidRPr="00075343">
        <w:rPr>
          <w:sz w:val="28"/>
          <w:szCs w:val="28"/>
        </w:rPr>
        <w:t>A la fecha en que se resuelve la presente</w:t>
      </w:r>
      <w:r w:rsidR="00D520B3" w:rsidRPr="00075343">
        <w:rPr>
          <w:sz w:val="28"/>
          <w:szCs w:val="28"/>
        </w:rPr>
        <w:t xml:space="preserve">, </w:t>
      </w:r>
      <w:r w:rsidR="007F7016" w:rsidRPr="00075343">
        <w:rPr>
          <w:sz w:val="28"/>
          <w:szCs w:val="28"/>
        </w:rPr>
        <w:t>no se advierte que</w:t>
      </w:r>
      <w:r w:rsidR="00D520B3" w:rsidRPr="00075343">
        <w:rPr>
          <w:sz w:val="28"/>
          <w:szCs w:val="28"/>
        </w:rPr>
        <w:t xml:space="preserve"> la Constitución Política del estado </w:t>
      </w:r>
      <w:r w:rsidR="0094000E" w:rsidRPr="00075343">
        <w:rPr>
          <w:sz w:val="28"/>
          <w:szCs w:val="28"/>
        </w:rPr>
        <w:t>ni</w:t>
      </w:r>
      <w:r w:rsidR="00D520B3" w:rsidRPr="00075343">
        <w:rPr>
          <w:sz w:val="28"/>
          <w:szCs w:val="28"/>
        </w:rPr>
        <w:t xml:space="preserve"> la Ley de Instituciones y Procedimientos Electorales del Estado de Oaxaca</w:t>
      </w:r>
      <w:r w:rsidR="007F7016" w:rsidRPr="00075343">
        <w:rPr>
          <w:sz w:val="28"/>
          <w:szCs w:val="28"/>
        </w:rPr>
        <w:t xml:space="preserve"> establezcan</w:t>
      </w:r>
      <w:r w:rsidR="00D520B3" w:rsidRPr="00075343">
        <w:rPr>
          <w:sz w:val="28"/>
          <w:szCs w:val="28"/>
        </w:rPr>
        <w:t xml:space="preserve"> </w:t>
      </w:r>
      <w:r w:rsidR="005670E2" w:rsidRPr="00075343">
        <w:rPr>
          <w:sz w:val="28"/>
          <w:szCs w:val="28"/>
        </w:rPr>
        <w:t xml:space="preserve">una regulación que garantice la observancia del mandato de paridad de género en la renovación de la gubernatura, </w:t>
      </w:r>
      <w:r w:rsidR="00F55C01" w:rsidRPr="00075343">
        <w:rPr>
          <w:sz w:val="28"/>
          <w:szCs w:val="28"/>
        </w:rPr>
        <w:t xml:space="preserve">mucho menos una regla de alternancia de género por </w:t>
      </w:r>
      <w:r w:rsidR="009278E9" w:rsidRPr="00075343">
        <w:rPr>
          <w:sz w:val="28"/>
          <w:szCs w:val="28"/>
        </w:rPr>
        <w:t>periodo electivo en las postulaciones a dicho encargo.</w:t>
      </w:r>
    </w:p>
    <w:p w14:paraId="08714914" w14:textId="599AD7E8" w:rsidR="00255BA0" w:rsidRPr="00075343" w:rsidRDefault="007A0025">
      <w:pPr>
        <w:pStyle w:val="Prrafo"/>
        <w:numPr>
          <w:ilvl w:val="0"/>
          <w:numId w:val="1"/>
        </w:numPr>
        <w:ind w:left="0" w:hanging="567"/>
        <w:rPr>
          <w:sz w:val="28"/>
          <w:szCs w:val="28"/>
        </w:rPr>
      </w:pPr>
      <w:r w:rsidRPr="00075343">
        <w:rPr>
          <w:sz w:val="28"/>
          <w:szCs w:val="28"/>
        </w:rPr>
        <w:t xml:space="preserve">En todo caso, es inviable que esta Suprema Corte revise si el régimen electoral del estado de Oaxaca cumple con el contenido mínimo del principio constitucional de paridad de género, pues ello excedería la </w:t>
      </w:r>
      <w:r w:rsidRPr="00075343">
        <w:rPr>
          <w:sz w:val="28"/>
          <w:szCs w:val="28"/>
        </w:rPr>
        <w:lastRenderedPageBreak/>
        <w:t>materia de esta acción de inconstitucionalidad.</w:t>
      </w:r>
      <w:r w:rsidR="00255BA0" w:rsidRPr="00075343">
        <w:rPr>
          <w:sz w:val="28"/>
          <w:szCs w:val="28"/>
        </w:rPr>
        <w:t xml:space="preserve"> Tampoco puede pronunciarse o resolver sobre el debido cumplimiento de las resoluciones dictadas por una diversa autoridad jurisdiccional, como lo es el Tribunal Electoral del Poder Judicial de la Federación.</w:t>
      </w:r>
    </w:p>
    <w:p w14:paraId="19A91FEE" w14:textId="42EFE6AD" w:rsidR="008321A8" w:rsidRPr="00075343" w:rsidRDefault="007A0025">
      <w:pPr>
        <w:pStyle w:val="Prrafo"/>
        <w:numPr>
          <w:ilvl w:val="0"/>
          <w:numId w:val="1"/>
        </w:numPr>
        <w:ind w:left="0" w:hanging="567"/>
        <w:rPr>
          <w:sz w:val="28"/>
          <w:szCs w:val="28"/>
        </w:rPr>
      </w:pPr>
      <w:r w:rsidRPr="00075343">
        <w:rPr>
          <w:sz w:val="28"/>
          <w:szCs w:val="28"/>
        </w:rPr>
        <w:t xml:space="preserve"> </w:t>
      </w:r>
      <w:r w:rsidR="005735E3" w:rsidRPr="00075343">
        <w:rPr>
          <w:sz w:val="28"/>
          <w:szCs w:val="28"/>
        </w:rPr>
        <w:t xml:space="preserve">Además, tal como se explicó en el apartado previo, no existe ningún criterio vinculante de este Tribunal Pleno del que se desprenda la aplicabilidad del mandato de paridad de género a los procesos de renovación de las gubernaturas, mucho menos que sustente el planteamiento de que hay un imperativo constitucional de alternancia de género por elección, ya sea en las postulaciones o en el acceso al cargo. </w:t>
      </w:r>
    </w:p>
    <w:p w14:paraId="115A2900" w14:textId="6160E5D8" w:rsidR="009E566B" w:rsidRPr="00075343" w:rsidRDefault="00C732B2" w:rsidP="001609DC">
      <w:pPr>
        <w:pStyle w:val="Prrafo"/>
        <w:numPr>
          <w:ilvl w:val="0"/>
          <w:numId w:val="1"/>
        </w:numPr>
        <w:ind w:left="0" w:hanging="567"/>
        <w:rPr>
          <w:sz w:val="28"/>
          <w:szCs w:val="28"/>
        </w:rPr>
      </w:pPr>
      <w:r w:rsidRPr="00075343">
        <w:rPr>
          <w:sz w:val="28"/>
          <w:szCs w:val="28"/>
        </w:rPr>
        <w:t>En suma</w:t>
      </w:r>
      <w:r w:rsidR="008A34CB" w:rsidRPr="00075343">
        <w:rPr>
          <w:sz w:val="28"/>
          <w:szCs w:val="28"/>
        </w:rPr>
        <w:t>,</w:t>
      </w:r>
      <w:r w:rsidRPr="00075343">
        <w:rPr>
          <w:sz w:val="28"/>
          <w:szCs w:val="28"/>
        </w:rPr>
        <w:t xml:space="preserve"> al momento</w:t>
      </w:r>
      <w:r w:rsidR="008A34CB" w:rsidRPr="00075343">
        <w:rPr>
          <w:sz w:val="28"/>
          <w:szCs w:val="28"/>
        </w:rPr>
        <w:t xml:space="preserve"> se desconoce</w:t>
      </w:r>
      <w:r w:rsidR="008C0406" w:rsidRPr="00075343">
        <w:rPr>
          <w:sz w:val="28"/>
          <w:szCs w:val="28"/>
        </w:rPr>
        <w:t xml:space="preserve"> la forma como las autoridades </w:t>
      </w:r>
      <w:r w:rsidR="00A2114A" w:rsidRPr="00075343">
        <w:rPr>
          <w:sz w:val="28"/>
          <w:szCs w:val="28"/>
        </w:rPr>
        <w:t>competentes</w:t>
      </w:r>
      <w:r w:rsidR="003D5285" w:rsidRPr="00075343">
        <w:rPr>
          <w:sz w:val="28"/>
          <w:szCs w:val="28"/>
        </w:rPr>
        <w:t xml:space="preserve"> instrumentarán </w:t>
      </w:r>
      <w:r w:rsidR="000D1CA9" w:rsidRPr="00075343">
        <w:rPr>
          <w:sz w:val="28"/>
          <w:szCs w:val="28"/>
        </w:rPr>
        <w:t>el principio de paridad de género en el proceso electoral</w:t>
      </w:r>
      <w:r w:rsidR="00AC7CE6" w:rsidRPr="00075343">
        <w:rPr>
          <w:sz w:val="28"/>
          <w:szCs w:val="28"/>
        </w:rPr>
        <w:t xml:space="preserve"> de Oaxaca</w:t>
      </w:r>
      <w:r w:rsidR="000D1CA9" w:rsidRPr="00075343">
        <w:rPr>
          <w:sz w:val="28"/>
          <w:szCs w:val="28"/>
        </w:rPr>
        <w:t xml:space="preserve"> a celebrarse en el año dos mil veintiocho</w:t>
      </w:r>
      <w:r w:rsidR="00C174E7" w:rsidRPr="00075343">
        <w:rPr>
          <w:sz w:val="28"/>
          <w:szCs w:val="28"/>
        </w:rPr>
        <w:t>.</w:t>
      </w:r>
      <w:r w:rsidR="00BB080D" w:rsidRPr="00075343">
        <w:rPr>
          <w:sz w:val="28"/>
          <w:szCs w:val="28"/>
        </w:rPr>
        <w:t xml:space="preserve"> En </w:t>
      </w:r>
      <w:r w:rsidR="000B75D8" w:rsidRPr="00075343">
        <w:rPr>
          <w:sz w:val="28"/>
          <w:szCs w:val="28"/>
        </w:rPr>
        <w:t xml:space="preserve">ninguno de </w:t>
      </w:r>
      <w:r w:rsidR="00BB080D" w:rsidRPr="00075343">
        <w:rPr>
          <w:sz w:val="28"/>
          <w:szCs w:val="28"/>
        </w:rPr>
        <w:t xml:space="preserve">los procesos electorales </w:t>
      </w:r>
      <w:r w:rsidR="000B75D8" w:rsidRPr="00075343">
        <w:rPr>
          <w:sz w:val="28"/>
          <w:szCs w:val="28"/>
        </w:rPr>
        <w:t>previos</w:t>
      </w:r>
      <w:r w:rsidR="00BB080D" w:rsidRPr="00075343">
        <w:rPr>
          <w:sz w:val="28"/>
          <w:szCs w:val="28"/>
        </w:rPr>
        <w:t xml:space="preserve"> se ha implementado una </w:t>
      </w:r>
      <w:r w:rsidR="000B75D8" w:rsidRPr="00075343">
        <w:rPr>
          <w:sz w:val="28"/>
          <w:szCs w:val="28"/>
        </w:rPr>
        <w:t>exigencia</w:t>
      </w:r>
      <w:r w:rsidR="00BB080D" w:rsidRPr="00075343">
        <w:rPr>
          <w:sz w:val="28"/>
          <w:szCs w:val="28"/>
        </w:rPr>
        <w:t xml:space="preserve"> de alternancia de género</w:t>
      </w:r>
      <w:r w:rsidR="00275735" w:rsidRPr="00075343">
        <w:rPr>
          <w:sz w:val="28"/>
          <w:szCs w:val="28"/>
        </w:rPr>
        <w:t xml:space="preserve"> en las postulaciones a la gubernatura</w:t>
      </w:r>
      <w:r w:rsidR="00065C96" w:rsidRPr="00075343">
        <w:rPr>
          <w:sz w:val="28"/>
          <w:szCs w:val="28"/>
        </w:rPr>
        <w:t>,</w:t>
      </w:r>
      <w:r w:rsidR="009E566B" w:rsidRPr="00075343">
        <w:rPr>
          <w:sz w:val="28"/>
          <w:szCs w:val="28"/>
        </w:rPr>
        <w:t xml:space="preserve"> y </w:t>
      </w:r>
      <w:r w:rsidR="00C93938" w:rsidRPr="00075343">
        <w:rPr>
          <w:sz w:val="28"/>
          <w:szCs w:val="28"/>
        </w:rPr>
        <w:t xml:space="preserve">tampoco </w:t>
      </w:r>
      <w:r w:rsidR="00A208D4" w:rsidRPr="00075343">
        <w:rPr>
          <w:sz w:val="28"/>
          <w:szCs w:val="28"/>
        </w:rPr>
        <w:t xml:space="preserve">se advierte </w:t>
      </w:r>
      <w:r w:rsidR="001609DC" w:rsidRPr="00075343">
        <w:rPr>
          <w:sz w:val="28"/>
          <w:szCs w:val="28"/>
        </w:rPr>
        <w:t xml:space="preserve">algún elemento normativo </w:t>
      </w:r>
      <w:r w:rsidR="00A208D4" w:rsidRPr="00075343">
        <w:rPr>
          <w:sz w:val="28"/>
          <w:szCs w:val="28"/>
        </w:rPr>
        <w:t>que respalde su aplicación para el proceso electoral a celebrarse en el año dos mil veintiocho</w:t>
      </w:r>
      <w:r w:rsidR="00A0333D" w:rsidRPr="00075343">
        <w:rPr>
          <w:sz w:val="28"/>
          <w:szCs w:val="28"/>
        </w:rPr>
        <w:t xml:space="preserve">. </w:t>
      </w:r>
      <w:r w:rsidR="00645522" w:rsidRPr="00075343">
        <w:rPr>
          <w:sz w:val="28"/>
          <w:szCs w:val="28"/>
        </w:rPr>
        <w:t>Por tanto, el planteamiento del partido accionante asume como premisa un hecho incierto</w:t>
      </w:r>
      <w:r w:rsidR="00FE2296" w:rsidRPr="00075343">
        <w:rPr>
          <w:sz w:val="28"/>
          <w:szCs w:val="28"/>
        </w:rPr>
        <w:t>, pu</w:t>
      </w:r>
      <w:r w:rsidR="008F039C" w:rsidRPr="00075343">
        <w:rPr>
          <w:sz w:val="28"/>
          <w:szCs w:val="28"/>
        </w:rPr>
        <w:t xml:space="preserve">es </w:t>
      </w:r>
      <w:r w:rsidR="00172EBE" w:rsidRPr="00075343">
        <w:rPr>
          <w:sz w:val="28"/>
          <w:szCs w:val="28"/>
        </w:rPr>
        <w:t xml:space="preserve">no existe </w:t>
      </w:r>
      <w:r w:rsidR="00F30CD3" w:rsidRPr="00075343">
        <w:rPr>
          <w:sz w:val="28"/>
          <w:szCs w:val="28"/>
        </w:rPr>
        <w:t xml:space="preserve">ninguna norma o </w:t>
      </w:r>
      <w:r w:rsidR="00BD0E2C" w:rsidRPr="00075343">
        <w:rPr>
          <w:sz w:val="28"/>
          <w:szCs w:val="28"/>
        </w:rPr>
        <w:t>decisión de autoridad</w:t>
      </w:r>
      <w:r w:rsidR="00172EBE" w:rsidRPr="00075343">
        <w:rPr>
          <w:sz w:val="28"/>
          <w:szCs w:val="28"/>
        </w:rPr>
        <w:t xml:space="preserve"> que </w:t>
      </w:r>
      <w:r w:rsidR="00800B27" w:rsidRPr="00075343">
        <w:rPr>
          <w:sz w:val="28"/>
          <w:szCs w:val="28"/>
        </w:rPr>
        <w:t>sustente</w:t>
      </w:r>
      <w:r w:rsidR="00172EBE" w:rsidRPr="00075343">
        <w:rPr>
          <w:sz w:val="28"/>
          <w:szCs w:val="28"/>
        </w:rPr>
        <w:t xml:space="preserve"> que </w:t>
      </w:r>
      <w:r w:rsidR="00C91EAF" w:rsidRPr="00075343">
        <w:rPr>
          <w:sz w:val="28"/>
          <w:szCs w:val="28"/>
        </w:rPr>
        <w:t xml:space="preserve">la próxima Gubernatura del estado de Oaxaca debe </w:t>
      </w:r>
      <w:r w:rsidR="00442C4F" w:rsidRPr="00075343">
        <w:rPr>
          <w:sz w:val="28"/>
          <w:szCs w:val="28"/>
        </w:rPr>
        <w:t>corresponder a</w:t>
      </w:r>
      <w:r w:rsidR="00C91EAF" w:rsidRPr="00075343">
        <w:rPr>
          <w:sz w:val="28"/>
          <w:szCs w:val="28"/>
        </w:rPr>
        <w:t xml:space="preserve"> una mujer.</w:t>
      </w:r>
    </w:p>
    <w:p w14:paraId="7400B81E" w14:textId="56C80CD2" w:rsidR="00FD1AC0" w:rsidRPr="00F868F4" w:rsidRDefault="00455858" w:rsidP="00814553">
      <w:pPr>
        <w:pStyle w:val="Prrafo"/>
        <w:numPr>
          <w:ilvl w:val="0"/>
          <w:numId w:val="1"/>
        </w:numPr>
        <w:ind w:left="0" w:hanging="567"/>
        <w:rPr>
          <w:sz w:val="28"/>
          <w:szCs w:val="28"/>
        </w:rPr>
      </w:pPr>
      <w:r w:rsidRPr="00F868F4">
        <w:rPr>
          <w:sz w:val="28"/>
          <w:szCs w:val="28"/>
        </w:rPr>
        <w:t>También resulta relevante tener en cuenta que e</w:t>
      </w:r>
      <w:r w:rsidR="00FA0FA7" w:rsidRPr="00F868F4">
        <w:rPr>
          <w:sz w:val="28"/>
          <w:szCs w:val="28"/>
        </w:rPr>
        <w:t xml:space="preserve">l derecho a ser votada y acceder a la función pública está sujeto a que el encargo se desempeñe conforme a las condiciones que establezca la ley aplicable, lo cual comprende su duración o periodicidad. En el apartado previo </w:t>
      </w:r>
      <w:r w:rsidR="00455514" w:rsidRPr="00F868F4">
        <w:rPr>
          <w:sz w:val="28"/>
          <w:szCs w:val="28"/>
        </w:rPr>
        <w:t>se detallaron las razones por la que es válido que se establezca</w:t>
      </w:r>
      <w:r w:rsidR="00FD1AC0" w:rsidRPr="00F868F4">
        <w:rPr>
          <w:sz w:val="28"/>
          <w:szCs w:val="28"/>
        </w:rPr>
        <w:t xml:space="preserve"> un periodo menor al que ordinariamente corresponde a la Gubernatura, como una medida </w:t>
      </w:r>
      <w:r w:rsidR="00FD1AC0" w:rsidRPr="00F868F4">
        <w:rPr>
          <w:sz w:val="28"/>
          <w:szCs w:val="28"/>
        </w:rPr>
        <w:lastRenderedPageBreak/>
        <w:t>excepcional para materializar la homologación de ese proceso electivo con los comicios federales, específicamente con el de la Presidencia de la República</w:t>
      </w:r>
      <w:r w:rsidR="00814553" w:rsidRPr="00F868F4">
        <w:rPr>
          <w:sz w:val="28"/>
          <w:szCs w:val="28"/>
        </w:rPr>
        <w:t xml:space="preserve">. </w:t>
      </w:r>
      <w:r w:rsidR="0059544E" w:rsidRPr="00F868F4">
        <w:rPr>
          <w:sz w:val="28"/>
          <w:szCs w:val="28"/>
        </w:rPr>
        <w:t>Por tanto, dicha condición temporal no es susceptible de violar los derechos de participación política de la ciudadanía de Oaxaca, incluyendo los de las mujeres.</w:t>
      </w:r>
    </w:p>
    <w:p w14:paraId="355D60B0" w14:textId="57C85BC1" w:rsidR="00BC05D6" w:rsidRPr="00F868F4" w:rsidRDefault="004E0FEB">
      <w:pPr>
        <w:pStyle w:val="Prrafo"/>
        <w:numPr>
          <w:ilvl w:val="0"/>
          <w:numId w:val="1"/>
        </w:numPr>
        <w:ind w:left="0" w:hanging="567"/>
        <w:rPr>
          <w:sz w:val="28"/>
          <w:szCs w:val="28"/>
        </w:rPr>
      </w:pPr>
      <w:r w:rsidRPr="00F868F4">
        <w:rPr>
          <w:sz w:val="28"/>
          <w:szCs w:val="28"/>
        </w:rPr>
        <w:t>Las normas impugnadas son acordes</w:t>
      </w:r>
      <w:r w:rsidR="009E4007" w:rsidRPr="00F868F4">
        <w:rPr>
          <w:sz w:val="28"/>
          <w:szCs w:val="28"/>
        </w:rPr>
        <w:t xml:space="preserve"> al principio de certeza electoral</w:t>
      </w:r>
      <w:r w:rsidR="00EB74E8" w:rsidRPr="00F868F4">
        <w:rPr>
          <w:sz w:val="28"/>
          <w:szCs w:val="28"/>
        </w:rPr>
        <w:t xml:space="preserve">, de modo que </w:t>
      </w:r>
      <w:r w:rsidR="00E83EE1" w:rsidRPr="00F868F4">
        <w:rPr>
          <w:sz w:val="28"/>
          <w:szCs w:val="28"/>
        </w:rPr>
        <w:t>las ciudadanas oaxaqueñas que aspiren al encargo tendrán pleno conocimiento de que el mandato de la siguiente Gubernatura será por dos años, por lo que podrán decidir libremente si participan o no en la contienda electoral.</w:t>
      </w:r>
      <w:r w:rsidR="00B0308D" w:rsidRPr="00F868F4">
        <w:rPr>
          <w:sz w:val="28"/>
          <w:szCs w:val="28"/>
        </w:rPr>
        <w:t xml:space="preserve"> </w:t>
      </w:r>
      <w:r w:rsidR="00E83EE1" w:rsidRPr="00F868F4">
        <w:rPr>
          <w:sz w:val="28"/>
          <w:szCs w:val="28"/>
        </w:rPr>
        <w:t xml:space="preserve">Inclusive </w:t>
      </w:r>
      <w:r w:rsidR="00804F41" w:rsidRPr="00F868F4">
        <w:rPr>
          <w:sz w:val="28"/>
          <w:szCs w:val="28"/>
        </w:rPr>
        <w:t>en el supuesto de que</w:t>
      </w:r>
      <w:r w:rsidR="00E83EE1" w:rsidRPr="00F868F4">
        <w:rPr>
          <w:sz w:val="28"/>
          <w:szCs w:val="28"/>
        </w:rPr>
        <w:t xml:space="preserve"> en la elección de dos mil veintiocho result</w:t>
      </w:r>
      <w:r w:rsidR="0064563C" w:rsidRPr="00F868F4">
        <w:rPr>
          <w:sz w:val="28"/>
          <w:szCs w:val="28"/>
        </w:rPr>
        <w:t>e</w:t>
      </w:r>
      <w:r w:rsidR="00E83EE1" w:rsidRPr="00F868F4">
        <w:rPr>
          <w:sz w:val="28"/>
          <w:szCs w:val="28"/>
        </w:rPr>
        <w:t xml:space="preserve"> vencedora una mujer,</w:t>
      </w:r>
      <w:r w:rsidR="00CC3A54" w:rsidRPr="00F868F4">
        <w:rPr>
          <w:sz w:val="28"/>
          <w:szCs w:val="28"/>
        </w:rPr>
        <w:t xml:space="preserve"> </w:t>
      </w:r>
      <w:r w:rsidR="00E83EE1" w:rsidRPr="00F868F4">
        <w:rPr>
          <w:sz w:val="28"/>
          <w:szCs w:val="28"/>
        </w:rPr>
        <w:t>de modo que únicamente ejerza el cargo por dos años,</w:t>
      </w:r>
      <w:r w:rsidR="00B879A1" w:rsidRPr="00F868F4">
        <w:rPr>
          <w:sz w:val="28"/>
          <w:szCs w:val="28"/>
        </w:rPr>
        <w:t xml:space="preserve"> no se actualizaría una violación </w:t>
      </w:r>
      <w:r w:rsidR="00765B62" w:rsidRPr="00F868F4">
        <w:rPr>
          <w:sz w:val="28"/>
          <w:szCs w:val="28"/>
        </w:rPr>
        <w:t xml:space="preserve">a su derecho a ser electa, pues habría aceptado </w:t>
      </w:r>
      <w:r w:rsidR="00935274" w:rsidRPr="00F868F4">
        <w:rPr>
          <w:sz w:val="28"/>
          <w:szCs w:val="28"/>
        </w:rPr>
        <w:t>esa condición temporal.</w:t>
      </w:r>
      <w:r w:rsidR="00814553" w:rsidRPr="00F868F4">
        <w:rPr>
          <w:sz w:val="28"/>
          <w:szCs w:val="28"/>
        </w:rPr>
        <w:t xml:space="preserve"> </w:t>
      </w:r>
    </w:p>
    <w:p w14:paraId="0F5C0A21" w14:textId="12808318" w:rsidR="00E018D5" w:rsidRPr="00F868F4" w:rsidRDefault="00E018D5" w:rsidP="00D047FC">
      <w:pPr>
        <w:pStyle w:val="Prrafo"/>
        <w:numPr>
          <w:ilvl w:val="0"/>
          <w:numId w:val="1"/>
        </w:numPr>
        <w:ind w:left="0" w:hanging="567"/>
        <w:rPr>
          <w:sz w:val="28"/>
          <w:szCs w:val="28"/>
        </w:rPr>
      </w:pPr>
      <w:r w:rsidRPr="00F868F4">
        <w:rPr>
          <w:sz w:val="28"/>
          <w:szCs w:val="28"/>
        </w:rPr>
        <w:t xml:space="preserve">Se reconoce el contexto aludido por el partido promovente, en el sentido de que el estado de Oaxaca nunca ha sido gobernado por una mujer, lo cual es reflejo de la discriminación histórica y estructural que ese grupo social ha enfrentado. </w:t>
      </w:r>
      <w:r w:rsidR="00581495">
        <w:rPr>
          <w:sz w:val="28"/>
          <w:szCs w:val="28"/>
        </w:rPr>
        <w:t>Sin embargo,</w:t>
      </w:r>
      <w:r w:rsidR="009F1477">
        <w:rPr>
          <w:sz w:val="28"/>
          <w:szCs w:val="28"/>
        </w:rPr>
        <w:t xml:space="preserve"> este argumento </w:t>
      </w:r>
      <w:r w:rsidR="0052536C">
        <w:rPr>
          <w:sz w:val="28"/>
          <w:szCs w:val="28"/>
        </w:rPr>
        <w:t xml:space="preserve">no es relevante para </w:t>
      </w:r>
      <w:r w:rsidR="009F1477">
        <w:rPr>
          <w:sz w:val="28"/>
          <w:szCs w:val="28"/>
        </w:rPr>
        <w:t>el análisis de validez de la norma que se analiza porque</w:t>
      </w:r>
      <w:r w:rsidR="00203B34">
        <w:rPr>
          <w:sz w:val="28"/>
          <w:szCs w:val="28"/>
        </w:rPr>
        <w:t xml:space="preserve"> </w:t>
      </w:r>
      <w:r w:rsidR="009F1477">
        <w:rPr>
          <w:sz w:val="28"/>
          <w:szCs w:val="28"/>
        </w:rPr>
        <w:t xml:space="preserve">la siguiente elección </w:t>
      </w:r>
      <w:r w:rsidR="002417D6">
        <w:rPr>
          <w:sz w:val="28"/>
          <w:szCs w:val="28"/>
        </w:rPr>
        <w:t>no está reservada para mujeres de manera exclusiva por lo que impacta a todas las personas por igual</w:t>
      </w:r>
      <w:r w:rsidR="0052536C">
        <w:rPr>
          <w:sz w:val="28"/>
          <w:szCs w:val="28"/>
        </w:rPr>
        <w:t xml:space="preserve"> </w:t>
      </w:r>
      <w:r w:rsidR="0052536C">
        <w:rPr>
          <w:b/>
          <w:bCs/>
          <w:sz w:val="28"/>
          <w:szCs w:val="28"/>
        </w:rPr>
        <w:t>sin importar su género</w:t>
      </w:r>
      <w:r w:rsidR="001E5D90">
        <w:rPr>
          <w:sz w:val="28"/>
          <w:szCs w:val="28"/>
        </w:rPr>
        <w:t xml:space="preserve">. </w:t>
      </w:r>
    </w:p>
    <w:p w14:paraId="4E5D3B3E" w14:textId="18DB33AF" w:rsidR="00B0308D" w:rsidRPr="00F868F4" w:rsidRDefault="00455858">
      <w:pPr>
        <w:pStyle w:val="Prrafo"/>
        <w:numPr>
          <w:ilvl w:val="0"/>
          <w:numId w:val="1"/>
        </w:numPr>
        <w:ind w:left="0" w:hanging="567"/>
        <w:rPr>
          <w:sz w:val="28"/>
          <w:szCs w:val="28"/>
        </w:rPr>
      </w:pPr>
      <w:r w:rsidRPr="00F868F4">
        <w:rPr>
          <w:sz w:val="28"/>
          <w:szCs w:val="28"/>
        </w:rPr>
        <w:t>En todo caso</w:t>
      </w:r>
      <w:r w:rsidR="00FC2E81" w:rsidRPr="00F868F4">
        <w:rPr>
          <w:sz w:val="28"/>
          <w:szCs w:val="28"/>
        </w:rPr>
        <w:t xml:space="preserve">, </w:t>
      </w:r>
      <w:r w:rsidR="00E018D5" w:rsidRPr="00F868F4">
        <w:rPr>
          <w:sz w:val="28"/>
          <w:szCs w:val="28"/>
        </w:rPr>
        <w:t xml:space="preserve">se destaca que </w:t>
      </w:r>
      <w:r w:rsidR="00E83EE1" w:rsidRPr="00F868F4">
        <w:rPr>
          <w:sz w:val="28"/>
          <w:szCs w:val="28"/>
        </w:rPr>
        <w:t>no habría ningún impedimento para que</w:t>
      </w:r>
      <w:r w:rsidR="001E5D90">
        <w:rPr>
          <w:sz w:val="28"/>
          <w:szCs w:val="28"/>
        </w:rPr>
        <w:t xml:space="preserve"> </w:t>
      </w:r>
      <w:r w:rsidR="00E83EE1" w:rsidRPr="00F868F4">
        <w:rPr>
          <w:sz w:val="28"/>
          <w:szCs w:val="28"/>
        </w:rPr>
        <w:t>en los comicios de dos mil treinta se elija nuevamente a una mujer</w:t>
      </w:r>
      <w:r w:rsidR="00E87C5D" w:rsidRPr="00F868F4">
        <w:rPr>
          <w:sz w:val="28"/>
          <w:szCs w:val="28"/>
        </w:rPr>
        <w:t xml:space="preserve">, por lo que no se advierte que el decreto impugnado, por sí mismo, </w:t>
      </w:r>
      <w:r w:rsidR="000D2D41" w:rsidRPr="00F868F4">
        <w:rPr>
          <w:sz w:val="28"/>
          <w:szCs w:val="28"/>
        </w:rPr>
        <w:t>implique</w:t>
      </w:r>
      <w:r w:rsidR="00E87C5D" w:rsidRPr="00F868F4">
        <w:rPr>
          <w:sz w:val="28"/>
          <w:szCs w:val="28"/>
        </w:rPr>
        <w:t xml:space="preserve"> condiciones menos favorables para q</w:t>
      </w:r>
      <w:r w:rsidR="000D2D41" w:rsidRPr="00F868F4">
        <w:rPr>
          <w:sz w:val="28"/>
          <w:szCs w:val="28"/>
        </w:rPr>
        <w:t>ue las mujeres, como colectivo, accedan al encargo público de mayor relevancia en el ámbito local</w:t>
      </w:r>
      <w:r w:rsidR="00E83EE1" w:rsidRPr="00F868F4">
        <w:rPr>
          <w:sz w:val="28"/>
          <w:szCs w:val="28"/>
        </w:rPr>
        <w:t>.</w:t>
      </w:r>
    </w:p>
    <w:p w14:paraId="3B6A32E5" w14:textId="1666DDAC" w:rsidR="00806D97" w:rsidRPr="00F868F4" w:rsidRDefault="00E83EE1" w:rsidP="00361FBF">
      <w:pPr>
        <w:pStyle w:val="Prrafo"/>
        <w:numPr>
          <w:ilvl w:val="0"/>
          <w:numId w:val="1"/>
        </w:numPr>
        <w:ind w:left="0" w:hanging="567"/>
        <w:rPr>
          <w:sz w:val="28"/>
          <w:szCs w:val="28"/>
        </w:rPr>
      </w:pPr>
      <w:r w:rsidRPr="00F868F4">
        <w:rPr>
          <w:sz w:val="28"/>
          <w:szCs w:val="28"/>
        </w:rPr>
        <w:t>Por esta suma de razones, la mera posibilidad de que una</w:t>
      </w:r>
      <w:r w:rsidR="009166E8" w:rsidRPr="00F868F4">
        <w:rPr>
          <w:sz w:val="28"/>
          <w:szCs w:val="28"/>
        </w:rPr>
        <w:t xml:space="preserve"> mujer</w:t>
      </w:r>
      <w:r w:rsidRPr="00F868F4">
        <w:rPr>
          <w:sz w:val="28"/>
          <w:szCs w:val="28"/>
        </w:rPr>
        <w:t xml:space="preserve"> </w:t>
      </w:r>
      <w:r w:rsidR="00361FBF" w:rsidRPr="00F868F4">
        <w:rPr>
          <w:sz w:val="28"/>
          <w:szCs w:val="28"/>
        </w:rPr>
        <w:t xml:space="preserve">sea electa </w:t>
      </w:r>
      <w:r w:rsidRPr="00F868F4">
        <w:rPr>
          <w:sz w:val="28"/>
          <w:szCs w:val="28"/>
        </w:rPr>
        <w:t>como Gobernadora del estado de Oaxaca</w:t>
      </w:r>
      <w:r w:rsidR="009166E8" w:rsidRPr="00F868F4">
        <w:rPr>
          <w:sz w:val="28"/>
          <w:szCs w:val="28"/>
        </w:rPr>
        <w:t>,</w:t>
      </w:r>
      <w:r w:rsidRPr="00F868F4">
        <w:rPr>
          <w:sz w:val="28"/>
          <w:szCs w:val="28"/>
        </w:rPr>
        <w:t xml:space="preserve"> </w:t>
      </w:r>
      <w:r w:rsidR="00361FBF" w:rsidRPr="00F868F4">
        <w:rPr>
          <w:sz w:val="28"/>
          <w:szCs w:val="28"/>
        </w:rPr>
        <w:t xml:space="preserve">como resultado del </w:t>
      </w:r>
      <w:r w:rsidR="00361FBF" w:rsidRPr="00F868F4">
        <w:rPr>
          <w:sz w:val="28"/>
          <w:szCs w:val="28"/>
        </w:rPr>
        <w:lastRenderedPageBreak/>
        <w:t>proceso de dos mil veintiocho</w:t>
      </w:r>
      <w:r w:rsidR="009166E8" w:rsidRPr="00F868F4">
        <w:rPr>
          <w:sz w:val="28"/>
          <w:szCs w:val="28"/>
        </w:rPr>
        <w:t>,</w:t>
      </w:r>
      <w:r w:rsidRPr="00F868F4">
        <w:rPr>
          <w:sz w:val="28"/>
          <w:szCs w:val="28"/>
        </w:rPr>
        <w:t xml:space="preserve"> no puede llevar a la conclusión de que el decreto impugnado sea violatorio del derecho de las mujeres a ser votadas en condiciones de paridad</w:t>
      </w:r>
      <w:r w:rsidR="00760477" w:rsidRPr="00F868F4">
        <w:rPr>
          <w:sz w:val="28"/>
          <w:szCs w:val="28"/>
        </w:rPr>
        <w:t>, ni del mandato de paridad de género como tal</w:t>
      </w:r>
      <w:r w:rsidRPr="00F868F4">
        <w:rPr>
          <w:sz w:val="28"/>
          <w:szCs w:val="28"/>
        </w:rPr>
        <w:t>.</w:t>
      </w:r>
    </w:p>
    <w:p w14:paraId="1389EC43" w14:textId="0C0A1B80" w:rsidR="00A930AA" w:rsidRPr="00F868F4" w:rsidRDefault="007D7973" w:rsidP="007D7973">
      <w:pPr>
        <w:pStyle w:val="Prrafo"/>
        <w:jc w:val="center"/>
        <w:rPr>
          <w:sz w:val="28"/>
          <w:szCs w:val="28"/>
        </w:rPr>
      </w:pPr>
      <w:r w:rsidRPr="00F868F4">
        <w:rPr>
          <w:sz w:val="28"/>
          <w:szCs w:val="28"/>
        </w:rPr>
        <w:t>***</w:t>
      </w:r>
    </w:p>
    <w:p w14:paraId="63D20E73" w14:textId="7DBB176F" w:rsidR="00FC2E81" w:rsidRDefault="00483E4F" w:rsidP="00FC2E81">
      <w:pPr>
        <w:pStyle w:val="Prrafo"/>
        <w:numPr>
          <w:ilvl w:val="0"/>
          <w:numId w:val="1"/>
        </w:numPr>
        <w:ind w:left="0" w:hanging="567"/>
        <w:rPr>
          <w:sz w:val="28"/>
          <w:szCs w:val="28"/>
        </w:rPr>
      </w:pPr>
      <w:r w:rsidRPr="00F868F4">
        <w:rPr>
          <w:sz w:val="28"/>
          <w:szCs w:val="28"/>
        </w:rPr>
        <w:t xml:space="preserve">Las consideraciones desarrolladas suficientes para desvirtuar la totalidad de </w:t>
      </w:r>
      <w:r w:rsidR="0044325A" w:rsidRPr="00F868F4">
        <w:rPr>
          <w:sz w:val="28"/>
          <w:szCs w:val="28"/>
        </w:rPr>
        <w:t>los planteamientos</w:t>
      </w:r>
      <w:r w:rsidRPr="00F868F4">
        <w:rPr>
          <w:sz w:val="28"/>
          <w:szCs w:val="28"/>
        </w:rPr>
        <w:t xml:space="preserve"> del partido promovente</w:t>
      </w:r>
      <w:r w:rsidR="0044325A" w:rsidRPr="00F868F4">
        <w:rPr>
          <w:sz w:val="28"/>
          <w:szCs w:val="28"/>
        </w:rPr>
        <w:t xml:space="preserve"> sobre la violación de diversos principios constitucionales</w:t>
      </w:r>
      <w:r w:rsidRPr="00F868F4">
        <w:rPr>
          <w:sz w:val="28"/>
          <w:szCs w:val="28"/>
        </w:rPr>
        <w:t xml:space="preserve">, por lo que </w:t>
      </w:r>
      <w:r w:rsidR="00C912E3" w:rsidRPr="00F868F4">
        <w:rPr>
          <w:sz w:val="28"/>
          <w:szCs w:val="28"/>
        </w:rPr>
        <w:t xml:space="preserve">esta Suprema Corte de Justicia de la Nación </w:t>
      </w:r>
      <w:r w:rsidR="00280CE5">
        <w:rPr>
          <w:sz w:val="28"/>
          <w:szCs w:val="28"/>
        </w:rPr>
        <w:t>reconoce</w:t>
      </w:r>
      <w:r w:rsidR="00DA1CC5" w:rsidRPr="00F868F4">
        <w:rPr>
          <w:sz w:val="28"/>
          <w:szCs w:val="28"/>
        </w:rPr>
        <w:t xml:space="preserve"> la </w:t>
      </w:r>
      <w:r w:rsidR="00DA1CC5" w:rsidRPr="00EF69BD">
        <w:rPr>
          <w:b/>
          <w:bCs/>
          <w:sz w:val="28"/>
          <w:szCs w:val="28"/>
        </w:rPr>
        <w:t>validez</w:t>
      </w:r>
      <w:r w:rsidR="00DA1CC5" w:rsidRPr="00F868F4">
        <w:rPr>
          <w:sz w:val="28"/>
          <w:szCs w:val="28"/>
        </w:rPr>
        <w:t xml:space="preserve"> d</w:t>
      </w:r>
      <w:r w:rsidR="0099380F" w:rsidRPr="00F868F4">
        <w:rPr>
          <w:sz w:val="28"/>
          <w:szCs w:val="28"/>
        </w:rPr>
        <w:t xml:space="preserve">el </w:t>
      </w:r>
      <w:r w:rsidR="00C912E3" w:rsidRPr="00F868F4">
        <w:rPr>
          <w:sz w:val="28"/>
          <w:szCs w:val="28"/>
        </w:rPr>
        <w:t>Decreto núm. 1624</w:t>
      </w:r>
      <w:r w:rsidR="0099380F" w:rsidRPr="00F868F4">
        <w:rPr>
          <w:sz w:val="28"/>
          <w:szCs w:val="28"/>
        </w:rPr>
        <w:t>.</w:t>
      </w:r>
    </w:p>
    <w:p w14:paraId="583EDEEA" w14:textId="77777777" w:rsidR="00280CE5" w:rsidRPr="00280CE5" w:rsidRDefault="00280CE5" w:rsidP="00280CE5">
      <w:pPr>
        <w:pStyle w:val="Prrafo"/>
        <w:rPr>
          <w:sz w:val="28"/>
          <w:szCs w:val="28"/>
        </w:rPr>
      </w:pPr>
    </w:p>
    <w:p w14:paraId="3026D420" w14:textId="73968CFA" w:rsidR="00C27AAE" w:rsidRPr="00F868F4" w:rsidRDefault="00C27AAE" w:rsidP="00DA1CC5">
      <w:pPr>
        <w:pStyle w:val="Ttulo1"/>
        <w:keepNext/>
        <w:rPr>
          <w:szCs w:val="28"/>
        </w:rPr>
      </w:pPr>
      <w:r w:rsidRPr="00F868F4">
        <w:rPr>
          <w:szCs w:val="28"/>
        </w:rPr>
        <w:t>VI. PUNTOS RESOLUTIVOS</w:t>
      </w:r>
    </w:p>
    <w:p w14:paraId="50DB6C98" w14:textId="77777777" w:rsidR="00764465" w:rsidRPr="00764465" w:rsidRDefault="00764465" w:rsidP="00764465">
      <w:pPr>
        <w:spacing w:before="100" w:beforeAutospacing="1" w:after="100" w:afterAutospacing="1" w:line="384" w:lineRule="auto"/>
        <w:jc w:val="both"/>
        <w:rPr>
          <w:rFonts w:ascii="Arial" w:hAnsi="Arial" w:cs="Arial"/>
          <w:sz w:val="28"/>
          <w:szCs w:val="28"/>
        </w:rPr>
      </w:pPr>
      <w:r w:rsidRPr="00764465">
        <w:rPr>
          <w:rFonts w:ascii="Arial" w:hAnsi="Arial" w:cs="Arial"/>
          <w:b/>
          <w:bCs/>
          <w:sz w:val="28"/>
          <w:szCs w:val="28"/>
        </w:rPr>
        <w:t>PRIMERO.</w:t>
      </w:r>
      <w:r w:rsidRPr="00764465">
        <w:rPr>
          <w:rFonts w:ascii="Arial" w:hAnsi="Arial" w:cs="Arial"/>
          <w:sz w:val="28"/>
          <w:szCs w:val="28"/>
        </w:rPr>
        <w:t xml:space="preserve"> Es </w:t>
      </w:r>
      <w:r w:rsidRPr="00764465">
        <w:rPr>
          <w:rFonts w:ascii="Arial" w:hAnsi="Arial" w:cs="Arial"/>
          <w:b/>
          <w:bCs/>
          <w:sz w:val="28"/>
          <w:szCs w:val="28"/>
        </w:rPr>
        <w:t>procedente, pero infundada</w:t>
      </w:r>
      <w:r w:rsidRPr="00764465">
        <w:rPr>
          <w:rFonts w:ascii="Arial" w:hAnsi="Arial" w:cs="Arial"/>
          <w:sz w:val="28"/>
          <w:szCs w:val="28"/>
        </w:rPr>
        <w:t xml:space="preserve"> la presente acción de inconstitucionalidad. </w:t>
      </w:r>
    </w:p>
    <w:p w14:paraId="0CE1E1EE" w14:textId="77777777" w:rsidR="00764465" w:rsidRPr="00764465" w:rsidRDefault="00764465" w:rsidP="00764465">
      <w:pPr>
        <w:spacing w:before="100" w:beforeAutospacing="1" w:after="100" w:afterAutospacing="1" w:line="384" w:lineRule="auto"/>
        <w:jc w:val="both"/>
        <w:rPr>
          <w:rFonts w:ascii="Arial" w:hAnsi="Arial" w:cs="Arial"/>
          <w:sz w:val="28"/>
          <w:szCs w:val="28"/>
        </w:rPr>
      </w:pPr>
      <w:r w:rsidRPr="00764465">
        <w:rPr>
          <w:rFonts w:ascii="Arial" w:hAnsi="Arial" w:cs="Arial"/>
          <w:b/>
          <w:bCs/>
          <w:sz w:val="28"/>
          <w:szCs w:val="28"/>
        </w:rPr>
        <w:t>SEGUNDO.</w:t>
      </w:r>
      <w:r w:rsidRPr="00764465">
        <w:rPr>
          <w:rFonts w:ascii="Arial" w:hAnsi="Arial" w:cs="Arial"/>
          <w:sz w:val="28"/>
          <w:szCs w:val="28"/>
        </w:rPr>
        <w:t xml:space="preserve"> Se reconoce la </w:t>
      </w:r>
      <w:r w:rsidRPr="00764465">
        <w:rPr>
          <w:rFonts w:ascii="Arial" w:hAnsi="Arial" w:cs="Arial"/>
          <w:b/>
          <w:bCs/>
          <w:sz w:val="28"/>
          <w:szCs w:val="28"/>
        </w:rPr>
        <w:t>validez</w:t>
      </w:r>
      <w:r w:rsidRPr="00764465">
        <w:rPr>
          <w:rFonts w:ascii="Arial" w:hAnsi="Arial" w:cs="Arial"/>
          <w:sz w:val="28"/>
          <w:szCs w:val="28"/>
        </w:rPr>
        <w:t xml:space="preserve"> del DECRETO NÚM. 1624, mediante el cual reforma la fracción I, base A, del artículo 25 de la Constitución Política del Estado Libre y Soberano de Oaxaca, publicado en el Periódico Oficial de dicha entidad federativa el treinta de diciembre de dos mil veintitrés.</w:t>
      </w:r>
    </w:p>
    <w:p w14:paraId="53092029" w14:textId="1C7628D8" w:rsidR="00C27AAE" w:rsidRPr="00764465" w:rsidRDefault="00764465" w:rsidP="00764465">
      <w:pPr>
        <w:spacing w:before="100" w:beforeAutospacing="1" w:after="100" w:afterAutospacing="1" w:line="384" w:lineRule="auto"/>
        <w:jc w:val="both"/>
        <w:rPr>
          <w:rFonts w:ascii="Arial" w:hAnsi="Arial" w:cs="Arial"/>
          <w:sz w:val="28"/>
          <w:szCs w:val="28"/>
        </w:rPr>
      </w:pPr>
      <w:r w:rsidRPr="00764465">
        <w:rPr>
          <w:rFonts w:ascii="Arial" w:hAnsi="Arial" w:cs="Arial"/>
          <w:b/>
          <w:bCs/>
          <w:sz w:val="28"/>
          <w:szCs w:val="28"/>
        </w:rPr>
        <w:t>TERCERO.</w:t>
      </w:r>
      <w:r w:rsidRPr="00764465">
        <w:rPr>
          <w:rFonts w:ascii="Arial" w:hAnsi="Arial" w:cs="Arial"/>
          <w:sz w:val="28"/>
          <w:szCs w:val="28"/>
        </w:rPr>
        <w:t xml:space="preserve"> Publíquese esta resolución en el Semanario Judicial de la Federación y su Gaceta</w:t>
      </w:r>
      <w:r>
        <w:rPr>
          <w:rFonts w:ascii="Arial" w:hAnsi="Arial" w:cs="Arial"/>
          <w:sz w:val="28"/>
          <w:szCs w:val="28"/>
        </w:rPr>
        <w:t>.</w:t>
      </w:r>
    </w:p>
    <w:p w14:paraId="2F266C88" w14:textId="2C1DE1C1" w:rsidR="002A2744" w:rsidRDefault="004177B0" w:rsidP="00542750">
      <w:pPr>
        <w:pStyle w:val="Prrafodelista"/>
        <w:spacing w:before="100" w:beforeAutospacing="1" w:after="100" w:afterAutospacing="1" w:line="384" w:lineRule="auto"/>
        <w:ind w:left="0"/>
        <w:contextualSpacing w:val="0"/>
        <w:rPr>
          <w:sz w:val="28"/>
          <w:szCs w:val="28"/>
        </w:rPr>
      </w:pPr>
      <w:r>
        <w:rPr>
          <w:bCs/>
          <w:sz w:val="28"/>
          <w:szCs w:val="28"/>
        </w:rPr>
        <w:t>Notifíquese</w:t>
      </w:r>
      <w:r w:rsidR="00744459">
        <w:rPr>
          <w:bCs/>
          <w:sz w:val="28"/>
          <w:szCs w:val="28"/>
        </w:rPr>
        <w:t>,</w:t>
      </w:r>
      <w:r w:rsidR="00C27AAE" w:rsidRPr="00F868F4">
        <w:rPr>
          <w:sz w:val="28"/>
          <w:szCs w:val="28"/>
        </w:rPr>
        <w:t xml:space="preserve"> haciéndolo por medio de oficio a las partes</w:t>
      </w:r>
      <w:r w:rsidR="00744459">
        <w:rPr>
          <w:sz w:val="28"/>
          <w:szCs w:val="28"/>
        </w:rPr>
        <w:t>,</w:t>
      </w:r>
      <w:r w:rsidR="00C27AAE" w:rsidRPr="00F868F4">
        <w:rPr>
          <w:sz w:val="28"/>
          <w:szCs w:val="28"/>
        </w:rPr>
        <w:t xml:space="preserve"> y, en su oportunidad, archívese el expediente como asunto concluido.</w:t>
      </w:r>
      <w:bookmarkEnd w:id="0"/>
    </w:p>
    <w:p w14:paraId="3E1DF87C" w14:textId="77777777" w:rsidR="00FD38B0" w:rsidRDefault="00FD38B0" w:rsidP="00744459">
      <w:pPr>
        <w:pStyle w:val="Prrafodelista"/>
        <w:spacing w:before="240" w:after="240" w:line="384" w:lineRule="auto"/>
        <w:ind w:left="0"/>
        <w:rPr>
          <w:sz w:val="28"/>
          <w:szCs w:val="28"/>
        </w:rPr>
      </w:pPr>
    </w:p>
    <w:p w14:paraId="43D63810" w14:textId="733B1EEA" w:rsidR="00744459" w:rsidRPr="00744459" w:rsidRDefault="00744459" w:rsidP="00744459">
      <w:pPr>
        <w:pStyle w:val="Prrafodelista"/>
        <w:spacing w:before="240" w:after="240" w:line="384" w:lineRule="auto"/>
        <w:ind w:left="0"/>
        <w:rPr>
          <w:sz w:val="28"/>
          <w:szCs w:val="28"/>
        </w:rPr>
      </w:pPr>
      <w:r w:rsidRPr="00744459">
        <w:rPr>
          <w:sz w:val="28"/>
          <w:szCs w:val="28"/>
        </w:rPr>
        <w:lastRenderedPageBreak/>
        <w:t>Así lo resolvió el Pleno de la Suprema Corte de Justicia de la Nación:</w:t>
      </w:r>
    </w:p>
    <w:p w14:paraId="6FF7376A" w14:textId="77777777" w:rsidR="00744459" w:rsidRDefault="00744459" w:rsidP="00744459">
      <w:pPr>
        <w:pStyle w:val="Prrafodelista"/>
        <w:spacing w:before="240" w:after="240" w:line="384" w:lineRule="auto"/>
        <w:ind w:left="0"/>
        <w:rPr>
          <w:sz w:val="28"/>
          <w:szCs w:val="28"/>
        </w:rPr>
      </w:pPr>
    </w:p>
    <w:p w14:paraId="0C31909D" w14:textId="4F5AF85F" w:rsidR="00744459" w:rsidRPr="00744459" w:rsidRDefault="00744459" w:rsidP="00744459">
      <w:pPr>
        <w:pStyle w:val="Prrafodelista"/>
        <w:spacing w:before="240" w:after="240" w:line="384" w:lineRule="auto"/>
        <w:ind w:left="0"/>
        <w:rPr>
          <w:b/>
          <w:bCs/>
          <w:sz w:val="28"/>
          <w:szCs w:val="28"/>
        </w:rPr>
      </w:pPr>
      <w:r w:rsidRPr="00744459">
        <w:rPr>
          <w:b/>
          <w:bCs/>
          <w:sz w:val="28"/>
          <w:szCs w:val="28"/>
        </w:rPr>
        <w:t>En relación con el punto resolutivo primero:</w:t>
      </w:r>
    </w:p>
    <w:p w14:paraId="615C0E43" w14:textId="77777777" w:rsidR="00744459" w:rsidRDefault="00744459" w:rsidP="00744459">
      <w:pPr>
        <w:pStyle w:val="Prrafodelista"/>
        <w:spacing w:before="240" w:after="240" w:line="384" w:lineRule="auto"/>
        <w:ind w:left="0"/>
        <w:rPr>
          <w:sz w:val="28"/>
          <w:szCs w:val="28"/>
        </w:rPr>
      </w:pPr>
    </w:p>
    <w:p w14:paraId="64857F7F" w14:textId="420F55D1" w:rsidR="00744459" w:rsidRPr="00744459" w:rsidRDefault="00744459" w:rsidP="00744459">
      <w:pPr>
        <w:pStyle w:val="Prrafodelista"/>
        <w:spacing w:before="240" w:after="240" w:line="384" w:lineRule="auto"/>
        <w:ind w:left="0"/>
        <w:rPr>
          <w:sz w:val="28"/>
          <w:szCs w:val="28"/>
        </w:rPr>
      </w:pPr>
      <w:r w:rsidRPr="00744459">
        <w:rPr>
          <w:sz w:val="28"/>
          <w:szCs w:val="28"/>
        </w:rPr>
        <w:t>Se aprobó por unanimidad de nueve votos de las señoras Ministras y de los señores Ministros Gutiérrez Ortiz Mena, González Alcántara Carrancá, Ortiz Ahlf, Aguilar Morales, Pardo Rebolledo, Ríos Farjat, Laynez Potisek, Pérez Dayán y Presidenta Piña Hernández, respecto de los apartados del I al IV relativos, respectivamente, a la competencia, a la precisión de las disposiciones reclamadas, a la oportunidad y a la legitimación y representación. Las señoras Ministras Esquivel Mossa y Batres Guadarrama estuvieron ausentes durante esta votación (votación realizada en la sesión celebrada el catorce de octubre de dos mil veinticuatro).</w:t>
      </w:r>
    </w:p>
    <w:p w14:paraId="34438C94" w14:textId="77777777" w:rsidR="00744459" w:rsidRDefault="00744459" w:rsidP="00744459">
      <w:pPr>
        <w:pStyle w:val="Prrafodelista"/>
        <w:spacing w:before="240" w:after="240" w:line="384" w:lineRule="auto"/>
        <w:ind w:left="0"/>
        <w:rPr>
          <w:sz w:val="28"/>
          <w:szCs w:val="28"/>
        </w:rPr>
      </w:pPr>
    </w:p>
    <w:p w14:paraId="70790845" w14:textId="239C0A4A" w:rsidR="00744459" w:rsidRPr="00744459" w:rsidRDefault="00744459" w:rsidP="00744459">
      <w:pPr>
        <w:pStyle w:val="Prrafodelista"/>
        <w:spacing w:before="240" w:after="240" w:line="384" w:lineRule="auto"/>
        <w:ind w:left="0"/>
        <w:rPr>
          <w:b/>
          <w:bCs/>
          <w:sz w:val="28"/>
          <w:szCs w:val="28"/>
        </w:rPr>
      </w:pPr>
      <w:r w:rsidRPr="00744459">
        <w:rPr>
          <w:b/>
          <w:bCs/>
          <w:sz w:val="28"/>
          <w:szCs w:val="28"/>
        </w:rPr>
        <w:t>En relación con el punto resolutivo segundo:</w:t>
      </w:r>
    </w:p>
    <w:p w14:paraId="04AE6A19" w14:textId="77777777" w:rsidR="00744459" w:rsidRDefault="00744459" w:rsidP="00744459">
      <w:pPr>
        <w:pStyle w:val="Prrafodelista"/>
        <w:spacing w:before="240" w:after="240" w:line="384" w:lineRule="auto"/>
        <w:ind w:left="0"/>
        <w:rPr>
          <w:sz w:val="28"/>
          <w:szCs w:val="28"/>
        </w:rPr>
      </w:pPr>
    </w:p>
    <w:p w14:paraId="6E3F36CD" w14:textId="1E74DF7C" w:rsidR="00744459" w:rsidRPr="00744459" w:rsidRDefault="00744459" w:rsidP="00744459">
      <w:pPr>
        <w:pStyle w:val="Prrafodelista"/>
        <w:spacing w:before="240" w:after="240" w:line="384" w:lineRule="auto"/>
        <w:ind w:left="0"/>
        <w:rPr>
          <w:sz w:val="28"/>
          <w:szCs w:val="28"/>
        </w:rPr>
      </w:pPr>
      <w:r w:rsidRPr="00744459">
        <w:rPr>
          <w:sz w:val="28"/>
          <w:szCs w:val="28"/>
        </w:rPr>
        <w:t xml:space="preserve">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 respecto del apartado V, relativo al estudio de fondo, en su tema 1, denominado “Supuesto incumplimiento del deber de consulta previa a las comunidades indígenas”, consistente en declarar infundado este concepto de invalidez. Las señoras Ministras y los señores Ministros Ortiz Ahlf, Pardo Rebolledo, Laynez Potisek y Presidenta Piña Hernández anunciaron sendos votos concurrentes. La señora Ministra Esquivel </w:t>
      </w:r>
      <w:r w:rsidRPr="00744459">
        <w:rPr>
          <w:sz w:val="28"/>
          <w:szCs w:val="28"/>
        </w:rPr>
        <w:lastRenderedPageBreak/>
        <w:t>Mossa y el señor Ministro Aguilar Morales reservaron su derecho de formular sendos votos concurrentes (votación realizada en la sesión celebrada el catorce de octubre de dos mil veinticuatro).</w:t>
      </w:r>
    </w:p>
    <w:p w14:paraId="67A28A79" w14:textId="77777777" w:rsidR="00744459" w:rsidRDefault="00744459" w:rsidP="00744459">
      <w:pPr>
        <w:pStyle w:val="Prrafodelista"/>
        <w:spacing w:before="240" w:after="240" w:line="384" w:lineRule="auto"/>
        <w:ind w:left="0"/>
        <w:rPr>
          <w:sz w:val="28"/>
          <w:szCs w:val="28"/>
        </w:rPr>
      </w:pPr>
    </w:p>
    <w:p w14:paraId="0A263A5B" w14:textId="3228F096" w:rsidR="00744459" w:rsidRPr="00744459" w:rsidRDefault="00744459" w:rsidP="00744459">
      <w:pPr>
        <w:pStyle w:val="Prrafodelista"/>
        <w:spacing w:before="240" w:after="240" w:line="384" w:lineRule="auto"/>
        <w:ind w:left="0"/>
        <w:rPr>
          <w:sz w:val="28"/>
          <w:szCs w:val="28"/>
        </w:rPr>
      </w:pPr>
      <w:r w:rsidRPr="00744459">
        <w:rPr>
          <w:sz w:val="28"/>
          <w:szCs w:val="28"/>
        </w:rPr>
        <w:t>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 con consideraciones adicionales, respecto del apartado V, relativo al estudio de fondo, en su tema 2, denominado “Presunta violación al artículo 116 de la Constitución Política del país”, consistente en declarar infundado el respectivo concepto de invalidez. La señora Ministra Presidenta Piña Hernández anunció voto concurrente (votación realizada en la sesión celebrada el catorce de octubre de dos mil veinticuatro).</w:t>
      </w:r>
    </w:p>
    <w:p w14:paraId="671A1FA5" w14:textId="77777777" w:rsidR="00744459" w:rsidRDefault="00744459" w:rsidP="00744459">
      <w:pPr>
        <w:pStyle w:val="Prrafodelista"/>
        <w:spacing w:before="240" w:after="240" w:line="384" w:lineRule="auto"/>
        <w:ind w:left="0"/>
        <w:rPr>
          <w:sz w:val="28"/>
          <w:szCs w:val="28"/>
        </w:rPr>
      </w:pPr>
    </w:p>
    <w:p w14:paraId="77996D7A" w14:textId="61A737F2" w:rsidR="00744459" w:rsidRPr="00744459" w:rsidRDefault="00744459" w:rsidP="00744459">
      <w:pPr>
        <w:pStyle w:val="Prrafodelista"/>
        <w:spacing w:before="240" w:after="240" w:line="384" w:lineRule="auto"/>
        <w:ind w:left="0"/>
        <w:rPr>
          <w:sz w:val="28"/>
          <w:szCs w:val="28"/>
        </w:rPr>
      </w:pPr>
      <w:r w:rsidRPr="00744459">
        <w:rPr>
          <w:sz w:val="28"/>
          <w:szCs w:val="28"/>
        </w:rPr>
        <w:t>Se aprobó por mayoría de seis votos de las señoras Ministras y de los señores Ministros Gutiérrez Ortiz Mena, González Alcántara Carrancá, Esquivel Mossa, Pardo Rebolledo, Laynez Potisek y Presidenta Piña Hernández, respecto del apartado V, relativo al estudio de fondo, en su tema 3, denominado “Presunta violación del principio de paridad de género”, consistente en reconocer la validez del DECRETO NÚM. 1624, mediante el cual reforma la fracción I, base A, del artículo 25 de la Constitución Política del Estado Libre y Soberano de Oaxaca. Las señoras Ministras Ortiz Ahlf y Ríos Farjat y el señor Ministro Pérez Dayán votaron en contra.</w:t>
      </w:r>
    </w:p>
    <w:p w14:paraId="6BE58759" w14:textId="77777777" w:rsidR="00744459" w:rsidRDefault="00744459" w:rsidP="00744459">
      <w:pPr>
        <w:pStyle w:val="Prrafodelista"/>
        <w:spacing w:before="240" w:after="240" w:line="384" w:lineRule="auto"/>
        <w:ind w:left="0"/>
        <w:rPr>
          <w:sz w:val="28"/>
          <w:szCs w:val="28"/>
        </w:rPr>
      </w:pPr>
    </w:p>
    <w:p w14:paraId="665FA30B" w14:textId="77777777" w:rsidR="006F2298" w:rsidRDefault="006F2298" w:rsidP="00744459">
      <w:pPr>
        <w:pStyle w:val="Prrafodelista"/>
        <w:spacing w:before="240" w:after="240" w:line="384" w:lineRule="auto"/>
        <w:ind w:left="0"/>
        <w:rPr>
          <w:b/>
          <w:bCs/>
          <w:sz w:val="28"/>
          <w:szCs w:val="28"/>
        </w:rPr>
      </w:pPr>
    </w:p>
    <w:p w14:paraId="5409D8E8" w14:textId="3D8D0758" w:rsidR="00744459" w:rsidRPr="00744459" w:rsidRDefault="00744459" w:rsidP="00744459">
      <w:pPr>
        <w:pStyle w:val="Prrafodelista"/>
        <w:spacing w:before="240" w:after="240" w:line="384" w:lineRule="auto"/>
        <w:ind w:left="0"/>
        <w:rPr>
          <w:b/>
          <w:bCs/>
          <w:sz w:val="28"/>
          <w:szCs w:val="28"/>
        </w:rPr>
      </w:pPr>
      <w:r w:rsidRPr="00744459">
        <w:rPr>
          <w:b/>
          <w:bCs/>
          <w:sz w:val="28"/>
          <w:szCs w:val="28"/>
        </w:rPr>
        <w:lastRenderedPageBreak/>
        <w:t>En relación con el punto resolutivo tercero:</w:t>
      </w:r>
    </w:p>
    <w:p w14:paraId="3F087128" w14:textId="77777777" w:rsidR="00744459" w:rsidRDefault="00744459" w:rsidP="00744459">
      <w:pPr>
        <w:pStyle w:val="Prrafodelista"/>
        <w:spacing w:before="240" w:after="240" w:line="384" w:lineRule="auto"/>
        <w:ind w:left="0"/>
        <w:rPr>
          <w:sz w:val="28"/>
          <w:szCs w:val="28"/>
        </w:rPr>
      </w:pPr>
    </w:p>
    <w:p w14:paraId="18D3123A" w14:textId="5F865219" w:rsidR="00744459" w:rsidRPr="00744459" w:rsidRDefault="00744459" w:rsidP="00744459">
      <w:pPr>
        <w:pStyle w:val="Prrafodelista"/>
        <w:spacing w:before="240" w:after="240" w:line="384" w:lineRule="auto"/>
        <w:ind w:left="0"/>
        <w:rPr>
          <w:sz w:val="28"/>
          <w:szCs w:val="28"/>
        </w:rPr>
      </w:pPr>
      <w:r w:rsidRPr="00744459">
        <w:rPr>
          <w:sz w:val="28"/>
          <w:szCs w:val="28"/>
        </w:rPr>
        <w:t>Se aprobó por unanimidad de nueve votos de las señoras Ministras y de los señores Ministros Gutiérrez Ortiz Mena, González Alcántara Carrancá, Esquivel Mossa, Ortiz Ahlf, Pardo Rebolledo, Ríos Farjat, Laynez Potisek, Pérez Dayán y Presidenta Piña Hernández.</w:t>
      </w:r>
    </w:p>
    <w:p w14:paraId="46C90B66" w14:textId="77777777" w:rsidR="00744459" w:rsidRDefault="00744459" w:rsidP="00744459">
      <w:pPr>
        <w:pStyle w:val="Prrafodelista"/>
        <w:spacing w:before="240" w:after="240" w:line="384" w:lineRule="auto"/>
        <w:ind w:left="0"/>
        <w:rPr>
          <w:sz w:val="28"/>
          <w:szCs w:val="28"/>
        </w:rPr>
      </w:pPr>
    </w:p>
    <w:p w14:paraId="746EFBA8" w14:textId="41E9F0D6" w:rsidR="00744459" w:rsidRPr="00744459" w:rsidRDefault="00744459" w:rsidP="00744459">
      <w:pPr>
        <w:pStyle w:val="Prrafodelista"/>
        <w:spacing w:before="240" w:after="240" w:line="384" w:lineRule="auto"/>
        <w:ind w:left="0"/>
        <w:rPr>
          <w:sz w:val="28"/>
          <w:szCs w:val="28"/>
        </w:rPr>
      </w:pPr>
      <w:r w:rsidRPr="00744459">
        <w:rPr>
          <w:sz w:val="28"/>
          <w:szCs w:val="28"/>
        </w:rPr>
        <w:t>La señora Ministra Lenia Batres Guadarrama no asistió a la sesión de dos de diciembre de dos mil veinticuatro previo aviso a la Presidencia.</w:t>
      </w:r>
    </w:p>
    <w:p w14:paraId="54D9DD7A" w14:textId="77777777" w:rsidR="00744459" w:rsidRDefault="00744459" w:rsidP="00744459">
      <w:pPr>
        <w:pStyle w:val="Prrafodelista"/>
        <w:spacing w:before="240" w:after="240" w:line="384" w:lineRule="auto"/>
        <w:ind w:left="0"/>
        <w:contextualSpacing w:val="0"/>
        <w:rPr>
          <w:sz w:val="28"/>
          <w:szCs w:val="28"/>
        </w:rPr>
      </w:pPr>
    </w:p>
    <w:p w14:paraId="3277610B" w14:textId="29C710BD" w:rsidR="006F7EF7" w:rsidRDefault="00744459" w:rsidP="00744459">
      <w:pPr>
        <w:pStyle w:val="Prrafodelista"/>
        <w:spacing w:before="240" w:after="240" w:line="384" w:lineRule="auto"/>
        <w:ind w:left="0"/>
        <w:contextualSpacing w:val="0"/>
        <w:rPr>
          <w:sz w:val="28"/>
          <w:szCs w:val="28"/>
        </w:rPr>
      </w:pPr>
      <w:r w:rsidRPr="00744459">
        <w:rPr>
          <w:sz w:val="28"/>
          <w:szCs w:val="28"/>
        </w:rPr>
        <w:t>La señora Ministra Presidenta Piña Hernández declaró que el asunto se resolvió en los términos precisados. Doy fe</w:t>
      </w:r>
      <w:r>
        <w:rPr>
          <w:sz w:val="28"/>
          <w:szCs w:val="28"/>
        </w:rPr>
        <w:t>.</w:t>
      </w:r>
    </w:p>
    <w:p w14:paraId="0576B4D3" w14:textId="406FC6B1" w:rsidR="0065005C" w:rsidRDefault="00744459" w:rsidP="00744459">
      <w:pPr>
        <w:pStyle w:val="Prrafodelista"/>
        <w:spacing w:before="240" w:after="0" w:line="384" w:lineRule="auto"/>
        <w:ind w:left="0"/>
        <w:contextualSpacing w:val="0"/>
        <w:rPr>
          <w:sz w:val="28"/>
          <w:szCs w:val="28"/>
        </w:rPr>
      </w:pPr>
      <w:r>
        <w:rPr>
          <w:sz w:val="28"/>
          <w:szCs w:val="28"/>
        </w:rPr>
        <w:t>Firman la señora Ministra Presidenta y el señor Ministro encargado del engrose con el Secretario General de Acuerdos, quien da fe.</w:t>
      </w:r>
    </w:p>
    <w:p w14:paraId="0A075319" w14:textId="77777777" w:rsidR="0065005C" w:rsidRDefault="0065005C" w:rsidP="006F2298">
      <w:pPr>
        <w:pStyle w:val="Prrafodelista"/>
        <w:spacing w:before="240" w:after="240" w:line="240" w:lineRule="auto"/>
        <w:ind w:left="0"/>
        <w:contextualSpacing w:val="0"/>
        <w:rPr>
          <w:sz w:val="28"/>
          <w:szCs w:val="28"/>
        </w:rPr>
      </w:pPr>
    </w:p>
    <w:p w14:paraId="77926492" w14:textId="32CA297A" w:rsidR="00F4388C" w:rsidRDefault="00F4388C" w:rsidP="006F2298">
      <w:pPr>
        <w:pStyle w:val="Prrafodelista"/>
        <w:spacing w:before="240" w:after="240" w:line="240" w:lineRule="auto"/>
        <w:jc w:val="center"/>
        <w:rPr>
          <w:b/>
          <w:sz w:val="28"/>
          <w:szCs w:val="28"/>
        </w:rPr>
      </w:pPr>
      <w:r w:rsidRPr="00F4388C">
        <w:rPr>
          <w:b/>
          <w:sz w:val="28"/>
          <w:szCs w:val="28"/>
        </w:rPr>
        <w:t>PRESIDENTA</w:t>
      </w:r>
    </w:p>
    <w:p w14:paraId="01A74896" w14:textId="77777777" w:rsidR="00744459" w:rsidRPr="00F4388C" w:rsidRDefault="00744459" w:rsidP="006F2298">
      <w:pPr>
        <w:pStyle w:val="Prrafodelista"/>
        <w:spacing w:before="240" w:after="240" w:line="240" w:lineRule="auto"/>
        <w:jc w:val="center"/>
        <w:rPr>
          <w:b/>
          <w:sz w:val="28"/>
          <w:szCs w:val="28"/>
        </w:rPr>
      </w:pPr>
    </w:p>
    <w:p w14:paraId="3C02B99F" w14:textId="10A5FC13" w:rsidR="00F4388C" w:rsidRDefault="006F7EF7" w:rsidP="006F2298">
      <w:pPr>
        <w:pStyle w:val="Prrafodelista"/>
        <w:spacing w:before="240" w:after="240" w:line="240" w:lineRule="auto"/>
        <w:jc w:val="center"/>
        <w:rPr>
          <w:b/>
          <w:sz w:val="28"/>
          <w:szCs w:val="28"/>
        </w:rPr>
      </w:pPr>
      <w:r w:rsidRPr="00F4388C">
        <w:rPr>
          <w:b/>
          <w:sz w:val="28"/>
          <w:szCs w:val="28"/>
        </w:rPr>
        <w:t xml:space="preserve">MINISTRA </w:t>
      </w:r>
      <w:r w:rsidR="00F4388C" w:rsidRPr="00F4388C">
        <w:rPr>
          <w:b/>
          <w:sz w:val="28"/>
          <w:szCs w:val="28"/>
        </w:rPr>
        <w:t>NORMA LUCÍA PIÑA HERNÁNDEZ</w:t>
      </w:r>
    </w:p>
    <w:p w14:paraId="3D5D1389" w14:textId="77777777" w:rsidR="006F7EF7" w:rsidRDefault="006F7EF7" w:rsidP="006F2298">
      <w:pPr>
        <w:pStyle w:val="Prrafodelista"/>
        <w:spacing w:before="240" w:after="240" w:line="240" w:lineRule="auto"/>
        <w:jc w:val="center"/>
        <w:rPr>
          <w:b/>
          <w:sz w:val="28"/>
          <w:szCs w:val="28"/>
        </w:rPr>
      </w:pPr>
    </w:p>
    <w:p w14:paraId="6EBB7C43" w14:textId="77777777" w:rsidR="00744459" w:rsidRDefault="00744459" w:rsidP="006F2298">
      <w:pPr>
        <w:pStyle w:val="Prrafodelista"/>
        <w:spacing w:before="240" w:after="240" w:line="240" w:lineRule="auto"/>
        <w:jc w:val="center"/>
        <w:rPr>
          <w:b/>
          <w:sz w:val="28"/>
          <w:szCs w:val="28"/>
        </w:rPr>
      </w:pPr>
    </w:p>
    <w:p w14:paraId="2596A383" w14:textId="77777777" w:rsidR="00744459" w:rsidRDefault="00744459" w:rsidP="006F2298">
      <w:pPr>
        <w:pStyle w:val="Prrafodelista"/>
        <w:spacing w:before="240" w:after="240" w:line="240" w:lineRule="auto"/>
        <w:jc w:val="center"/>
        <w:rPr>
          <w:b/>
          <w:sz w:val="28"/>
          <w:szCs w:val="28"/>
        </w:rPr>
      </w:pPr>
    </w:p>
    <w:p w14:paraId="52A1F35B" w14:textId="6917491F" w:rsidR="00F4388C" w:rsidRDefault="00280CE5" w:rsidP="006F2298">
      <w:pPr>
        <w:pStyle w:val="Prrafodelista"/>
        <w:spacing w:before="240" w:after="240" w:line="240" w:lineRule="auto"/>
        <w:jc w:val="center"/>
        <w:rPr>
          <w:b/>
          <w:sz w:val="28"/>
          <w:szCs w:val="28"/>
        </w:rPr>
      </w:pPr>
      <w:r>
        <w:rPr>
          <w:b/>
          <w:sz w:val="28"/>
          <w:szCs w:val="28"/>
        </w:rPr>
        <w:t>ENCARGADO DEL ENGROSE</w:t>
      </w:r>
    </w:p>
    <w:p w14:paraId="216ACFE5" w14:textId="77777777" w:rsidR="00744459" w:rsidRPr="00F4388C" w:rsidRDefault="00744459" w:rsidP="006F2298">
      <w:pPr>
        <w:pStyle w:val="Prrafodelista"/>
        <w:spacing w:before="240" w:after="240" w:line="240" w:lineRule="auto"/>
        <w:jc w:val="center"/>
        <w:rPr>
          <w:b/>
          <w:sz w:val="28"/>
          <w:szCs w:val="28"/>
        </w:rPr>
      </w:pPr>
    </w:p>
    <w:p w14:paraId="3409DDE0" w14:textId="62DF1FBF" w:rsidR="00F4388C" w:rsidRPr="00F4388C" w:rsidRDefault="006F7EF7" w:rsidP="006F2298">
      <w:pPr>
        <w:pStyle w:val="Prrafodelista"/>
        <w:spacing w:before="240" w:after="240" w:line="240" w:lineRule="auto"/>
        <w:jc w:val="center"/>
        <w:rPr>
          <w:b/>
          <w:sz w:val="28"/>
          <w:szCs w:val="28"/>
        </w:rPr>
      </w:pPr>
      <w:r w:rsidRPr="00F4388C">
        <w:rPr>
          <w:b/>
          <w:sz w:val="28"/>
          <w:szCs w:val="28"/>
        </w:rPr>
        <w:t xml:space="preserve">MINISTRO </w:t>
      </w:r>
      <w:r w:rsidR="00F4388C" w:rsidRPr="00F4388C">
        <w:rPr>
          <w:b/>
          <w:sz w:val="28"/>
          <w:szCs w:val="28"/>
        </w:rPr>
        <w:t>JUAN LUIS GONZÁLEZ ALCÁNTARA CARRANCÁ</w:t>
      </w:r>
    </w:p>
    <w:p w14:paraId="205DED39" w14:textId="77777777" w:rsidR="006F7EF7" w:rsidRDefault="006F7EF7" w:rsidP="006F2298">
      <w:pPr>
        <w:pStyle w:val="Prrafodelista"/>
        <w:spacing w:before="240" w:after="240" w:line="240" w:lineRule="auto"/>
        <w:jc w:val="center"/>
        <w:rPr>
          <w:b/>
          <w:sz w:val="28"/>
          <w:szCs w:val="28"/>
        </w:rPr>
      </w:pPr>
    </w:p>
    <w:p w14:paraId="1E2DBE9E" w14:textId="77777777" w:rsidR="00744459" w:rsidRDefault="00744459" w:rsidP="006F2298">
      <w:pPr>
        <w:pStyle w:val="Prrafodelista"/>
        <w:spacing w:before="240" w:after="240" w:line="240" w:lineRule="auto"/>
        <w:jc w:val="center"/>
        <w:rPr>
          <w:b/>
          <w:sz w:val="28"/>
          <w:szCs w:val="28"/>
        </w:rPr>
      </w:pPr>
    </w:p>
    <w:p w14:paraId="33A2A2B8" w14:textId="77777777" w:rsidR="00744459" w:rsidRDefault="00744459" w:rsidP="006F2298">
      <w:pPr>
        <w:pStyle w:val="Prrafodelista"/>
        <w:spacing w:before="240" w:after="240" w:line="240" w:lineRule="auto"/>
        <w:jc w:val="center"/>
        <w:rPr>
          <w:b/>
          <w:sz w:val="28"/>
          <w:szCs w:val="28"/>
        </w:rPr>
      </w:pPr>
    </w:p>
    <w:p w14:paraId="5E2B2BBC" w14:textId="22BBF976" w:rsidR="00F4388C" w:rsidRDefault="00F4388C" w:rsidP="006F2298">
      <w:pPr>
        <w:pStyle w:val="Prrafodelista"/>
        <w:spacing w:before="240" w:after="240" w:line="240" w:lineRule="auto"/>
        <w:jc w:val="center"/>
        <w:rPr>
          <w:b/>
          <w:sz w:val="28"/>
          <w:szCs w:val="28"/>
        </w:rPr>
      </w:pPr>
      <w:r w:rsidRPr="00F4388C">
        <w:rPr>
          <w:b/>
          <w:sz w:val="28"/>
          <w:szCs w:val="28"/>
        </w:rPr>
        <w:t>SECRETARIO GENERAL DE ACUERDOS</w:t>
      </w:r>
    </w:p>
    <w:p w14:paraId="1B5EBCCD" w14:textId="77777777" w:rsidR="00744459" w:rsidRPr="00F4388C" w:rsidRDefault="00744459" w:rsidP="006F2298">
      <w:pPr>
        <w:pStyle w:val="Prrafodelista"/>
        <w:spacing w:before="240" w:after="240" w:line="240" w:lineRule="auto"/>
        <w:jc w:val="center"/>
        <w:rPr>
          <w:b/>
          <w:sz w:val="28"/>
          <w:szCs w:val="28"/>
        </w:rPr>
      </w:pPr>
    </w:p>
    <w:p w14:paraId="2F3E81DB" w14:textId="556717CA" w:rsidR="00F4388C" w:rsidRPr="00844AD8" w:rsidRDefault="006F7EF7" w:rsidP="006F2298">
      <w:pPr>
        <w:pStyle w:val="Prrafodelista"/>
        <w:spacing w:before="240" w:after="240" w:line="240" w:lineRule="auto"/>
        <w:jc w:val="center"/>
        <w:rPr>
          <w:sz w:val="28"/>
          <w:szCs w:val="28"/>
        </w:rPr>
      </w:pPr>
      <w:r>
        <w:rPr>
          <w:b/>
          <w:sz w:val="28"/>
          <w:szCs w:val="28"/>
        </w:rPr>
        <w:t xml:space="preserve">LICENCIADO </w:t>
      </w:r>
      <w:r w:rsidR="00F4388C" w:rsidRPr="00F4388C">
        <w:rPr>
          <w:b/>
          <w:sz w:val="28"/>
          <w:szCs w:val="28"/>
        </w:rPr>
        <w:t>RAFAEL COELLO CETINA</w:t>
      </w:r>
    </w:p>
    <w:sectPr w:rsidR="00F4388C" w:rsidRPr="00844AD8" w:rsidSect="00744459">
      <w:headerReference w:type="first" r:id="rId13"/>
      <w:footerReference w:type="first" r:id="rId14"/>
      <w:pgSz w:w="12240" w:h="19293" w:code="305"/>
      <w:pgMar w:top="3682" w:right="1469" w:bottom="1701" w:left="1701" w:header="1134" w:footer="9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B8105" w14:textId="77777777" w:rsidR="00974FC0" w:rsidRDefault="00974FC0" w:rsidP="00C27AAE">
      <w:r>
        <w:separator/>
      </w:r>
    </w:p>
  </w:endnote>
  <w:endnote w:type="continuationSeparator" w:id="0">
    <w:p w14:paraId="4B773B05" w14:textId="77777777" w:rsidR="00974FC0" w:rsidRDefault="00974FC0" w:rsidP="00C27AAE">
      <w:r>
        <w:continuationSeparator/>
      </w:r>
    </w:p>
  </w:endnote>
  <w:endnote w:type="continuationNotice" w:id="1">
    <w:p w14:paraId="435FDF84" w14:textId="77777777" w:rsidR="00974FC0" w:rsidRDefault="0097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8"/>
        <w:szCs w:val="28"/>
      </w:rPr>
      <w:id w:val="-1201923943"/>
      <w:docPartObj>
        <w:docPartGallery w:val="Page Numbers (Bottom of Page)"/>
        <w:docPartUnique/>
      </w:docPartObj>
    </w:sdtPr>
    <w:sdtEndPr/>
    <w:sdtContent>
      <w:p w14:paraId="62B495C6" w14:textId="1320A45F" w:rsidR="00AC4357" w:rsidRPr="00581495" w:rsidRDefault="00C27AAE" w:rsidP="004A4CDE">
        <w:pPr>
          <w:pStyle w:val="Piedepgina"/>
          <w:jc w:val="left"/>
          <w:rPr>
            <w:b/>
            <w:bCs/>
            <w:sz w:val="28"/>
            <w:szCs w:val="28"/>
          </w:rPr>
        </w:pPr>
        <w:r w:rsidRPr="00581495">
          <w:rPr>
            <w:b/>
            <w:bCs/>
            <w:sz w:val="28"/>
            <w:szCs w:val="28"/>
          </w:rPr>
          <w:fldChar w:fldCharType="begin"/>
        </w:r>
        <w:r w:rsidRPr="00581495">
          <w:rPr>
            <w:b/>
            <w:bCs/>
            <w:sz w:val="28"/>
            <w:szCs w:val="28"/>
          </w:rPr>
          <w:instrText>PAGE   \* MERGEFORMAT</w:instrText>
        </w:r>
        <w:r w:rsidRPr="00581495">
          <w:rPr>
            <w:b/>
            <w:bCs/>
            <w:sz w:val="28"/>
            <w:szCs w:val="28"/>
          </w:rPr>
          <w:fldChar w:fldCharType="separate"/>
        </w:r>
        <w:r w:rsidRPr="00581495">
          <w:rPr>
            <w:b/>
            <w:bCs/>
            <w:sz w:val="28"/>
            <w:szCs w:val="28"/>
            <w:lang w:val="es-ES"/>
          </w:rPr>
          <w:t>2</w:t>
        </w:r>
        <w:r w:rsidRPr="00581495">
          <w:rPr>
            <w:b/>
            <w:bCs/>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70C0"/>
        <w:sz w:val="28"/>
        <w:szCs w:val="28"/>
      </w:rPr>
      <w:id w:val="574011406"/>
      <w:docPartObj>
        <w:docPartGallery w:val="Page Numbers (Bottom of Page)"/>
        <w:docPartUnique/>
      </w:docPartObj>
    </w:sdtPr>
    <w:sdtEndPr/>
    <w:sdtContent>
      <w:p w14:paraId="1B01442E" w14:textId="497B6281" w:rsidR="008A138C" w:rsidRPr="008A138C" w:rsidRDefault="008A138C" w:rsidP="008A138C">
        <w:pPr>
          <w:pStyle w:val="Piedepgina"/>
          <w:jc w:val="right"/>
          <w:rPr>
            <w:b/>
            <w:bCs/>
            <w:color w:val="0070C0"/>
            <w:sz w:val="28"/>
            <w:szCs w:val="28"/>
          </w:rPr>
        </w:pPr>
        <w:r w:rsidRPr="00581495">
          <w:rPr>
            <w:b/>
            <w:bCs/>
            <w:sz w:val="28"/>
            <w:szCs w:val="28"/>
          </w:rPr>
          <w:fldChar w:fldCharType="begin"/>
        </w:r>
        <w:r w:rsidRPr="00581495">
          <w:rPr>
            <w:b/>
            <w:bCs/>
            <w:sz w:val="28"/>
            <w:szCs w:val="28"/>
          </w:rPr>
          <w:instrText>PAGE   \* MERGEFORMAT</w:instrText>
        </w:r>
        <w:r w:rsidRPr="00581495">
          <w:rPr>
            <w:b/>
            <w:bCs/>
            <w:sz w:val="28"/>
            <w:szCs w:val="28"/>
          </w:rPr>
          <w:fldChar w:fldCharType="separate"/>
        </w:r>
        <w:r w:rsidRPr="00581495">
          <w:rPr>
            <w:b/>
            <w:bCs/>
            <w:sz w:val="28"/>
            <w:szCs w:val="28"/>
          </w:rPr>
          <w:t>IV</w:t>
        </w:r>
        <w:r w:rsidRPr="00581495">
          <w:rPr>
            <w:b/>
            <w:bCs/>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535023"/>
      <w:docPartObj>
        <w:docPartGallery w:val="Page Numbers (Bottom of Page)"/>
        <w:docPartUnique/>
      </w:docPartObj>
    </w:sdtPr>
    <w:sdtEndPr>
      <w:rPr>
        <w:b/>
        <w:bCs/>
        <w:color w:val="0070C0"/>
        <w:sz w:val="28"/>
        <w:szCs w:val="28"/>
      </w:rPr>
    </w:sdtEndPr>
    <w:sdtContent>
      <w:p w14:paraId="0212B6F5" w14:textId="77777777" w:rsidR="00C27AAE" w:rsidRPr="00F84868" w:rsidRDefault="00C27AAE" w:rsidP="004A4CDE">
        <w:pPr>
          <w:pStyle w:val="Piedepgina"/>
          <w:jc w:val="right"/>
          <w:rPr>
            <w:b/>
            <w:bCs/>
            <w:color w:val="0070C0"/>
            <w:sz w:val="28"/>
            <w:szCs w:val="28"/>
          </w:rPr>
        </w:pPr>
        <w:r w:rsidRPr="00F84868">
          <w:rPr>
            <w:b/>
            <w:bCs/>
            <w:color w:val="0070C0"/>
            <w:sz w:val="28"/>
            <w:szCs w:val="28"/>
          </w:rPr>
          <w:fldChar w:fldCharType="begin"/>
        </w:r>
        <w:r w:rsidRPr="00F84868">
          <w:rPr>
            <w:b/>
            <w:bCs/>
            <w:color w:val="0070C0"/>
            <w:sz w:val="28"/>
            <w:szCs w:val="28"/>
          </w:rPr>
          <w:instrText>PAGE   \* MERGEFORMAT</w:instrText>
        </w:r>
        <w:r w:rsidRPr="00F84868">
          <w:rPr>
            <w:b/>
            <w:bCs/>
            <w:color w:val="0070C0"/>
            <w:sz w:val="28"/>
            <w:szCs w:val="28"/>
          </w:rPr>
          <w:fldChar w:fldCharType="separate"/>
        </w:r>
        <w:r w:rsidRPr="00F84868">
          <w:rPr>
            <w:b/>
            <w:bCs/>
            <w:color w:val="0070C0"/>
            <w:sz w:val="28"/>
            <w:szCs w:val="28"/>
            <w:lang w:val="es-ES"/>
          </w:rPr>
          <w:t>2</w:t>
        </w:r>
        <w:r w:rsidRPr="00F84868">
          <w:rPr>
            <w:b/>
            <w:bCs/>
            <w:color w:val="0070C0"/>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7CC9" w14:textId="77777777" w:rsidR="00251A0D" w:rsidRDefault="00251A0D">
    <w:pPr>
      <w:pStyle w:val="Piedepgina"/>
      <w:jc w:val="center"/>
    </w:pPr>
  </w:p>
  <w:p w14:paraId="39EA206F" w14:textId="77777777" w:rsidR="00251A0D" w:rsidRDefault="00251A0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61EB5" w14:textId="77777777" w:rsidR="00974FC0" w:rsidRDefault="00974FC0" w:rsidP="00C27AAE">
      <w:r>
        <w:separator/>
      </w:r>
    </w:p>
  </w:footnote>
  <w:footnote w:type="continuationSeparator" w:id="0">
    <w:p w14:paraId="6096DC17" w14:textId="77777777" w:rsidR="00974FC0" w:rsidRDefault="00974FC0" w:rsidP="00C27AAE">
      <w:r>
        <w:continuationSeparator/>
      </w:r>
    </w:p>
  </w:footnote>
  <w:footnote w:type="continuationNotice" w:id="1">
    <w:p w14:paraId="3A625715" w14:textId="77777777" w:rsidR="00974FC0" w:rsidRDefault="00974FC0"/>
  </w:footnote>
  <w:footnote w:id="2">
    <w:p w14:paraId="4D3A34AC" w14:textId="53009274" w:rsidR="00B4312A" w:rsidRPr="008A138C" w:rsidRDefault="00B4312A" w:rsidP="007D1ED7">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En lo subsecuente también se le denominará “</w:t>
      </w:r>
      <w:r w:rsidR="00DE66EA" w:rsidRPr="008A138C">
        <w:rPr>
          <w:rFonts w:ascii="Times New Roman" w:hAnsi="Times New Roman" w:cs="Times New Roman"/>
          <w:sz w:val="24"/>
          <w:szCs w:val="24"/>
          <w:lang w:val="es-ES"/>
        </w:rPr>
        <w:t>PAN</w:t>
      </w:r>
      <w:r w:rsidRPr="008A138C">
        <w:rPr>
          <w:rFonts w:ascii="Times New Roman" w:hAnsi="Times New Roman" w:cs="Times New Roman"/>
          <w:sz w:val="24"/>
          <w:szCs w:val="24"/>
          <w:lang w:val="es-ES"/>
        </w:rPr>
        <w:t>”.</w:t>
      </w:r>
    </w:p>
  </w:footnote>
  <w:footnote w:id="3">
    <w:p w14:paraId="7482139D" w14:textId="4A157FB6" w:rsidR="00892015" w:rsidRPr="008A138C" w:rsidRDefault="00892015" w:rsidP="007D1ED7">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También se le referirá como “</w:t>
      </w:r>
      <w:r w:rsidR="007D1ED7" w:rsidRPr="008A138C">
        <w:rPr>
          <w:rFonts w:ascii="Times New Roman" w:hAnsi="Times New Roman" w:cs="Times New Roman"/>
          <w:sz w:val="24"/>
          <w:szCs w:val="24"/>
          <w:lang w:val="es-ES"/>
        </w:rPr>
        <w:t>Constitución local</w:t>
      </w:r>
      <w:r w:rsidRPr="008A138C">
        <w:rPr>
          <w:rFonts w:ascii="Times New Roman" w:hAnsi="Times New Roman" w:cs="Times New Roman"/>
          <w:sz w:val="24"/>
          <w:szCs w:val="24"/>
          <w:lang w:val="es-ES"/>
        </w:rPr>
        <w:t>”</w:t>
      </w:r>
      <w:r w:rsidR="007D1ED7" w:rsidRPr="008A138C">
        <w:rPr>
          <w:rFonts w:ascii="Times New Roman" w:hAnsi="Times New Roman" w:cs="Times New Roman"/>
          <w:sz w:val="24"/>
          <w:szCs w:val="24"/>
          <w:lang w:val="es-ES"/>
        </w:rPr>
        <w:t xml:space="preserve"> o “Constitución Política del estado”</w:t>
      </w:r>
      <w:r w:rsidRPr="008A138C">
        <w:rPr>
          <w:rFonts w:ascii="Times New Roman" w:hAnsi="Times New Roman" w:cs="Times New Roman"/>
          <w:sz w:val="24"/>
          <w:szCs w:val="24"/>
          <w:lang w:val="es-ES"/>
        </w:rPr>
        <w:t>.</w:t>
      </w:r>
    </w:p>
  </w:footnote>
  <w:footnote w:id="4">
    <w:p w14:paraId="43B7366A" w14:textId="77777777" w:rsidR="00762A0F" w:rsidRPr="008A138C" w:rsidRDefault="00DC481F" w:rsidP="00762A0F">
      <w:pPr>
        <w:pStyle w:val="Estilo"/>
        <w:spacing w:after="120"/>
        <w:ind w:left="284" w:hanging="284"/>
        <w:rPr>
          <w:rFonts w:ascii="Times New Roman" w:hAnsi="Times New Roman"/>
          <w:szCs w:val="24"/>
        </w:rPr>
      </w:pPr>
      <w:r w:rsidRPr="008A138C">
        <w:rPr>
          <w:rStyle w:val="Refdenotaalpie"/>
          <w:rFonts w:ascii="Times New Roman" w:hAnsi="Times New Roman"/>
          <w:szCs w:val="24"/>
        </w:rPr>
        <w:footnoteRef/>
      </w:r>
      <w:r w:rsidRPr="008A138C">
        <w:rPr>
          <w:rFonts w:ascii="Times New Roman" w:hAnsi="Times New Roman"/>
          <w:szCs w:val="24"/>
        </w:rPr>
        <w:t xml:space="preserve"> </w:t>
      </w:r>
      <w:r w:rsidR="00762A0F" w:rsidRPr="008A138C">
        <w:rPr>
          <w:rFonts w:ascii="Times New Roman" w:hAnsi="Times New Roman"/>
          <w:b/>
          <w:bCs/>
          <w:szCs w:val="24"/>
        </w:rPr>
        <w:t>PRIMERO.</w:t>
      </w:r>
      <w:r w:rsidR="00762A0F" w:rsidRPr="008A138C">
        <w:rPr>
          <w:rFonts w:ascii="Times New Roman" w:hAnsi="Times New Roman"/>
          <w:szCs w:val="24"/>
        </w:rPr>
        <w:t xml:space="preserve"> Publíquese en el Periódico Oficial del Gobierno del Estado de Oaxaca.</w:t>
      </w:r>
    </w:p>
    <w:p w14:paraId="6DEDD3BD" w14:textId="77777777" w:rsidR="00762A0F" w:rsidRPr="008A138C" w:rsidRDefault="00762A0F" w:rsidP="00762A0F">
      <w:pPr>
        <w:pStyle w:val="Estilo"/>
        <w:spacing w:after="120"/>
        <w:ind w:left="284" w:hanging="284"/>
        <w:rPr>
          <w:rFonts w:ascii="Times New Roman" w:hAnsi="Times New Roman"/>
          <w:szCs w:val="24"/>
        </w:rPr>
      </w:pPr>
      <w:r w:rsidRPr="008A138C">
        <w:rPr>
          <w:rFonts w:ascii="Times New Roman" w:hAnsi="Times New Roman"/>
          <w:b/>
          <w:bCs/>
          <w:szCs w:val="24"/>
        </w:rPr>
        <w:t>SEGUNDO.</w:t>
      </w:r>
      <w:r w:rsidRPr="008A138C">
        <w:rPr>
          <w:rFonts w:ascii="Times New Roman" w:hAnsi="Times New Roman"/>
          <w:szCs w:val="24"/>
        </w:rPr>
        <w:t xml:space="preserve"> El presente Decreto entrará en vigor el 01 de enero de 2025.</w:t>
      </w:r>
    </w:p>
    <w:p w14:paraId="69382F23" w14:textId="77777777" w:rsidR="00762A0F" w:rsidRPr="008A138C" w:rsidRDefault="00762A0F" w:rsidP="00762A0F">
      <w:pPr>
        <w:pStyle w:val="Estilo"/>
        <w:spacing w:after="120"/>
        <w:ind w:left="284" w:hanging="284"/>
        <w:rPr>
          <w:rFonts w:ascii="Times New Roman" w:hAnsi="Times New Roman"/>
          <w:szCs w:val="24"/>
        </w:rPr>
      </w:pPr>
      <w:r w:rsidRPr="008A138C">
        <w:rPr>
          <w:rFonts w:ascii="Times New Roman" w:hAnsi="Times New Roman"/>
          <w:b/>
          <w:bCs/>
          <w:szCs w:val="24"/>
        </w:rPr>
        <w:t>TERCERO.</w:t>
      </w:r>
      <w:r w:rsidRPr="008A138C">
        <w:rPr>
          <w:rFonts w:ascii="Times New Roman" w:hAnsi="Times New Roman"/>
          <w:szCs w:val="24"/>
        </w:rPr>
        <w:t xml:space="preserve"> La presente reforma no será aplicable a la persona titular del Poder Ejecutivo que este en funciones a la entrada en vigor de la misma.</w:t>
      </w:r>
    </w:p>
    <w:p w14:paraId="55672D1A" w14:textId="67581DDA" w:rsidR="00DC481F" w:rsidRPr="008A138C" w:rsidRDefault="00762A0F" w:rsidP="00762A0F">
      <w:pPr>
        <w:pStyle w:val="Estilo"/>
        <w:spacing w:after="120"/>
        <w:ind w:left="284" w:hanging="284"/>
        <w:rPr>
          <w:rFonts w:ascii="Times New Roman" w:hAnsi="Times New Roman"/>
          <w:szCs w:val="24"/>
        </w:rPr>
      </w:pPr>
      <w:r w:rsidRPr="008A138C">
        <w:rPr>
          <w:rFonts w:ascii="Times New Roman" w:hAnsi="Times New Roman"/>
          <w:b/>
          <w:bCs/>
          <w:szCs w:val="24"/>
        </w:rPr>
        <w:t>CUARTO.</w:t>
      </w:r>
      <w:r w:rsidRPr="008A138C">
        <w:rPr>
          <w:rFonts w:ascii="Times New Roman" w:hAnsi="Times New Roman"/>
          <w:szCs w:val="24"/>
        </w:rPr>
        <w:t xml:space="preserve"> Con la finalidad de cumplir con la presente reforma constitucional y para lograr la concurrencia de la elección de Gobernador o Gobernadora con los comicios federales; por única ocasión la persona titular del Poder Ejecutivo que se elija el primer domingo de junio del año dos mil veintiocho, iniciará su periodo el uno de diciembre de dos mil veintiocho, y concluirá el treinta de noviembre de dos mil treinta.</w:t>
      </w:r>
    </w:p>
  </w:footnote>
  <w:footnote w:id="5">
    <w:p w14:paraId="41B0141E" w14:textId="18D8F217" w:rsidR="00E463E6" w:rsidRPr="008A138C" w:rsidRDefault="00E463E6" w:rsidP="00E463E6">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Se precisó que dicha decisión se tomaba con la reserva de que se informara quiénes son los actuales representantes del partido político y que se tengan a la vista los estatutos vigentes que en su oportunidad remita el Instituto Nacional Electoral.</w:t>
      </w:r>
    </w:p>
  </w:footnote>
  <w:footnote w:id="6">
    <w:p w14:paraId="35C0AB37" w14:textId="77777777" w:rsidR="00607891" w:rsidRPr="008A138C" w:rsidRDefault="00D273DE" w:rsidP="00C35CA0">
      <w:pPr>
        <w:pStyle w:val="Textonotapie"/>
        <w:adjustRightInd w:val="0"/>
        <w:snapToGrid w:val="0"/>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w:t>
      </w:r>
      <w:r w:rsidR="00607891" w:rsidRPr="008A138C">
        <w:rPr>
          <w:rFonts w:ascii="Times New Roman" w:hAnsi="Times New Roman" w:cs="Times New Roman"/>
          <w:b/>
          <w:bCs/>
          <w:sz w:val="24"/>
          <w:szCs w:val="24"/>
          <w:lang w:val="es-ES_tradnl"/>
        </w:rPr>
        <w:t>Artículo 105</w:t>
      </w:r>
      <w:r w:rsidR="00607891" w:rsidRPr="008A138C">
        <w:rPr>
          <w:rFonts w:ascii="Times New Roman" w:hAnsi="Times New Roman" w:cs="Times New Roman"/>
          <w:sz w:val="24"/>
          <w:szCs w:val="24"/>
          <w:lang w:val="es-ES_tradnl"/>
        </w:rPr>
        <w:t>. La Suprema Corte de Justicia de la Nación conocerá, en los términos que señale la ley reglamentaria, de los asuntos siguientes: […]</w:t>
      </w:r>
    </w:p>
    <w:p w14:paraId="553A2B10" w14:textId="77777777" w:rsidR="00C35CA0" w:rsidRPr="008A138C" w:rsidRDefault="00607891" w:rsidP="00C35CA0">
      <w:pPr>
        <w:pStyle w:val="Textonotapie"/>
        <w:adjustRightInd w:val="0"/>
        <w:snapToGrid w:val="0"/>
        <w:spacing w:after="120"/>
        <w:ind w:left="568" w:hanging="284"/>
        <w:rPr>
          <w:rFonts w:ascii="Times New Roman" w:hAnsi="Times New Roman" w:cs="Times New Roman"/>
          <w:sz w:val="24"/>
          <w:szCs w:val="24"/>
          <w:lang w:val="es-ES_tradnl"/>
        </w:rPr>
      </w:pPr>
      <w:r w:rsidRPr="008A138C">
        <w:rPr>
          <w:rFonts w:ascii="Times New Roman" w:hAnsi="Times New Roman" w:cs="Times New Roman"/>
          <w:b/>
          <w:bCs/>
          <w:sz w:val="24"/>
          <w:szCs w:val="24"/>
          <w:lang w:val="es-ES_tradnl"/>
        </w:rPr>
        <w:t>II</w:t>
      </w:r>
      <w:r w:rsidRPr="008A138C">
        <w:rPr>
          <w:rFonts w:ascii="Times New Roman" w:hAnsi="Times New Roman" w:cs="Times New Roman"/>
          <w:sz w:val="24"/>
          <w:szCs w:val="24"/>
          <w:lang w:val="es-ES_tradnl"/>
        </w:rPr>
        <w:t>. De las acciones de inconstitucionalidad que tengan por objeto plantear la posible contradicción entre una norma de carácter general y esta Constitución.</w:t>
      </w:r>
    </w:p>
    <w:p w14:paraId="2B9AB35C" w14:textId="35592409" w:rsidR="00C96B17" w:rsidRPr="008A138C" w:rsidRDefault="00607891" w:rsidP="0065005C">
      <w:pPr>
        <w:pStyle w:val="Textonotapie"/>
        <w:adjustRightInd w:val="0"/>
        <w:snapToGrid w:val="0"/>
        <w:spacing w:after="120"/>
        <w:ind w:left="568" w:hanging="284"/>
        <w:rPr>
          <w:rFonts w:ascii="Times New Roman" w:hAnsi="Times New Roman" w:cs="Times New Roman"/>
          <w:sz w:val="24"/>
          <w:szCs w:val="24"/>
          <w:lang w:val="es-ES_tradnl"/>
        </w:rPr>
      </w:pPr>
      <w:r w:rsidRPr="008A138C">
        <w:rPr>
          <w:rFonts w:ascii="Times New Roman" w:hAnsi="Times New Roman" w:cs="Times New Roman"/>
          <w:sz w:val="24"/>
          <w:szCs w:val="24"/>
          <w:lang w:val="es-ES_tradnl"/>
        </w:rPr>
        <w:t>Las acciones de inconstitucionalidad podrán ejercitarse, dentro de los treinta días naturales siguientes a la fecha de publicación de la norma, por:</w:t>
      </w:r>
      <w:r w:rsidR="0065005C">
        <w:rPr>
          <w:rFonts w:ascii="Times New Roman" w:hAnsi="Times New Roman" w:cs="Times New Roman"/>
          <w:sz w:val="24"/>
          <w:szCs w:val="24"/>
          <w:lang w:val="es-ES_tradnl"/>
        </w:rPr>
        <w:t xml:space="preserve"> </w:t>
      </w:r>
      <w:r w:rsidR="00C96B17" w:rsidRPr="008A138C">
        <w:rPr>
          <w:rFonts w:ascii="Times New Roman" w:hAnsi="Times New Roman" w:cs="Times New Roman"/>
          <w:sz w:val="24"/>
          <w:szCs w:val="24"/>
          <w:lang w:val="es-ES_tradnl"/>
        </w:rPr>
        <w:t>[…]</w:t>
      </w:r>
    </w:p>
    <w:p w14:paraId="1EF5CB48" w14:textId="41D1CF47" w:rsidR="00CC2BA4" w:rsidRPr="008A138C" w:rsidRDefault="00607891" w:rsidP="0065005C">
      <w:pPr>
        <w:pStyle w:val="Textonotapie"/>
        <w:adjustRightInd w:val="0"/>
        <w:snapToGrid w:val="0"/>
        <w:spacing w:after="120"/>
        <w:ind w:left="851" w:hanging="284"/>
        <w:rPr>
          <w:rFonts w:ascii="Times New Roman" w:hAnsi="Times New Roman" w:cs="Times New Roman"/>
          <w:sz w:val="24"/>
          <w:szCs w:val="24"/>
          <w:lang w:val="es-ES_tradnl"/>
        </w:rPr>
      </w:pPr>
      <w:r w:rsidRPr="008A138C">
        <w:rPr>
          <w:rFonts w:ascii="Times New Roman" w:hAnsi="Times New Roman" w:cs="Times New Roman"/>
          <w:b/>
          <w:bCs/>
          <w:sz w:val="24"/>
          <w:szCs w:val="24"/>
          <w:lang w:val="es-ES_tradnl"/>
        </w:rPr>
        <w:t>f)</w:t>
      </w:r>
      <w:r w:rsidRPr="008A138C">
        <w:rPr>
          <w:rFonts w:ascii="Times New Roman" w:hAnsi="Times New Roman" w:cs="Times New Roman"/>
          <w:sz w:val="24"/>
          <w:szCs w:val="24"/>
          <w:lang w:val="es-ES_tradnl"/>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r w:rsidR="002E5BF9" w:rsidRPr="008A138C">
        <w:rPr>
          <w:rFonts w:ascii="Times New Roman" w:hAnsi="Times New Roman" w:cs="Times New Roman"/>
          <w:sz w:val="24"/>
          <w:szCs w:val="24"/>
          <w:lang w:val="es-ES_tradnl"/>
        </w:rPr>
        <w:t>;</w:t>
      </w:r>
      <w:r w:rsidR="0065005C">
        <w:rPr>
          <w:rFonts w:ascii="Times New Roman" w:hAnsi="Times New Roman" w:cs="Times New Roman"/>
          <w:sz w:val="24"/>
          <w:szCs w:val="24"/>
          <w:lang w:val="es-ES_tradnl"/>
        </w:rPr>
        <w:t xml:space="preserve"> </w:t>
      </w:r>
      <w:r w:rsidR="0065005C" w:rsidRPr="008A138C">
        <w:rPr>
          <w:rFonts w:ascii="Times New Roman" w:hAnsi="Times New Roman" w:cs="Times New Roman"/>
          <w:sz w:val="24"/>
          <w:szCs w:val="24"/>
          <w:lang w:val="es-ES_tradnl"/>
        </w:rPr>
        <w:t>[…]</w:t>
      </w:r>
      <w:r w:rsidR="006F3D02" w:rsidRPr="008A138C">
        <w:rPr>
          <w:rFonts w:ascii="Times New Roman" w:hAnsi="Times New Roman" w:cs="Times New Roman"/>
          <w:sz w:val="24"/>
          <w:szCs w:val="24"/>
          <w:lang w:val="es-ES_tradnl"/>
        </w:rPr>
        <w:t>.</w:t>
      </w:r>
    </w:p>
  </w:footnote>
  <w:footnote w:id="7">
    <w:p w14:paraId="209E088E" w14:textId="634AE58A" w:rsidR="00D273DE" w:rsidRPr="008A138C" w:rsidRDefault="00D273DE" w:rsidP="00C35CA0">
      <w:pPr>
        <w:pStyle w:val="Textonotapie"/>
        <w:adjustRightInd w:val="0"/>
        <w:snapToGrid w:val="0"/>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00FD4C1E" w:rsidRPr="008A138C">
        <w:rPr>
          <w:rFonts w:ascii="Times New Roman" w:hAnsi="Times New Roman" w:cs="Times New Roman"/>
          <w:b/>
          <w:bCs/>
          <w:sz w:val="24"/>
          <w:szCs w:val="24"/>
          <w:lang w:val="es-ES_tradnl"/>
        </w:rPr>
        <w:t xml:space="preserve"> </w:t>
      </w:r>
      <w:r w:rsidRPr="008A138C">
        <w:rPr>
          <w:rFonts w:ascii="Times New Roman" w:hAnsi="Times New Roman" w:cs="Times New Roman"/>
          <w:b/>
          <w:bCs/>
          <w:sz w:val="24"/>
          <w:szCs w:val="24"/>
          <w:lang w:val="es-ES_tradnl"/>
        </w:rPr>
        <w:t xml:space="preserve">Artículo 10. </w:t>
      </w:r>
      <w:r w:rsidRPr="008A138C">
        <w:rPr>
          <w:rFonts w:ascii="Times New Roman" w:hAnsi="Times New Roman" w:cs="Times New Roman"/>
          <w:sz w:val="24"/>
          <w:szCs w:val="24"/>
          <w:lang w:val="es-ES_tradnl"/>
        </w:rPr>
        <w:t>La Suprema Corte de Justicia de la Nación conocerá funcionando en Pleno:</w:t>
      </w:r>
    </w:p>
    <w:p w14:paraId="41E7CB83" w14:textId="1862DEEB" w:rsidR="00D273DE" w:rsidRPr="008A138C" w:rsidRDefault="00D273DE" w:rsidP="00FD4C1E">
      <w:pPr>
        <w:pStyle w:val="Textonotapie"/>
        <w:adjustRightInd w:val="0"/>
        <w:snapToGrid w:val="0"/>
        <w:spacing w:after="120"/>
        <w:ind w:left="568" w:hanging="284"/>
        <w:rPr>
          <w:rFonts w:ascii="Times New Roman" w:hAnsi="Times New Roman" w:cs="Times New Roman"/>
          <w:sz w:val="24"/>
          <w:szCs w:val="24"/>
          <w:lang w:val="es-ES_tradnl"/>
        </w:rPr>
      </w:pPr>
      <w:r w:rsidRPr="008A138C">
        <w:rPr>
          <w:rFonts w:ascii="Times New Roman" w:hAnsi="Times New Roman" w:cs="Times New Roman"/>
          <w:b/>
          <w:bCs/>
          <w:sz w:val="24"/>
          <w:szCs w:val="24"/>
          <w:lang w:val="es-ES_tradnl"/>
        </w:rPr>
        <w:t>I.</w:t>
      </w:r>
      <w:r w:rsidRPr="008A138C">
        <w:rPr>
          <w:rFonts w:ascii="Times New Roman" w:hAnsi="Times New Roman" w:cs="Times New Roman"/>
          <w:sz w:val="24"/>
          <w:szCs w:val="24"/>
          <w:lang w:val="es-ES_tradnl"/>
        </w:rPr>
        <w:t xml:space="preserve"> De las controversias constitucionales y acciones de inconstitucionalidad a que se refieren las fracciones I y II del artículo 105 de la Constitución Política de los Estados Unidos Mexicanos;</w:t>
      </w:r>
      <w:r w:rsidR="00FD4C1E" w:rsidRPr="008A138C">
        <w:rPr>
          <w:rFonts w:ascii="Times New Roman" w:hAnsi="Times New Roman" w:cs="Times New Roman"/>
          <w:sz w:val="24"/>
          <w:szCs w:val="24"/>
          <w:lang w:val="es-ES_tradnl"/>
        </w:rPr>
        <w:t xml:space="preserve"> </w:t>
      </w:r>
      <w:r w:rsidRPr="008A138C">
        <w:rPr>
          <w:rFonts w:ascii="Times New Roman" w:hAnsi="Times New Roman" w:cs="Times New Roman"/>
          <w:sz w:val="24"/>
          <w:szCs w:val="24"/>
          <w:lang w:val="es-ES_tradnl"/>
        </w:rPr>
        <w:t>[…]</w:t>
      </w:r>
    </w:p>
  </w:footnote>
  <w:footnote w:id="8">
    <w:p w14:paraId="3B5EB44C" w14:textId="18D06A5A" w:rsidR="00ED3937" w:rsidRPr="008A138C" w:rsidRDefault="00ED3937" w:rsidP="004A2EC2">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4A332A" w:rsidRPr="008A138C">
        <w:rPr>
          <w:rFonts w:ascii="Times New Roman" w:hAnsi="Times New Roman" w:cs="Times New Roman"/>
          <w:sz w:val="24"/>
          <w:szCs w:val="24"/>
          <w:lang w:val="es-ES"/>
        </w:rPr>
        <w:t>Los últimos</w:t>
      </w:r>
      <w:r w:rsidR="00990A0C" w:rsidRPr="008A138C">
        <w:rPr>
          <w:rFonts w:ascii="Times New Roman" w:hAnsi="Times New Roman" w:cs="Times New Roman"/>
          <w:sz w:val="24"/>
          <w:szCs w:val="24"/>
          <w:lang w:val="es-ES"/>
        </w:rPr>
        <w:t xml:space="preserve"> cuatro</w:t>
      </w:r>
      <w:r w:rsidR="004A332A" w:rsidRPr="008A138C">
        <w:rPr>
          <w:rFonts w:ascii="Times New Roman" w:hAnsi="Times New Roman" w:cs="Times New Roman"/>
          <w:sz w:val="24"/>
          <w:szCs w:val="24"/>
          <w:lang w:val="es-ES"/>
        </w:rPr>
        <w:t xml:space="preserve"> periodos de la </w:t>
      </w:r>
      <w:r w:rsidR="00E33E66" w:rsidRPr="008A138C">
        <w:rPr>
          <w:rFonts w:ascii="Times New Roman" w:hAnsi="Times New Roman" w:cs="Times New Roman"/>
          <w:sz w:val="24"/>
          <w:szCs w:val="24"/>
          <w:lang w:val="es-ES"/>
        </w:rPr>
        <w:t>G</w:t>
      </w:r>
      <w:r w:rsidR="004A332A" w:rsidRPr="008A138C">
        <w:rPr>
          <w:rFonts w:ascii="Times New Roman" w:hAnsi="Times New Roman" w:cs="Times New Roman"/>
          <w:sz w:val="24"/>
          <w:szCs w:val="24"/>
          <w:lang w:val="es-ES"/>
        </w:rPr>
        <w:t>ubernatura</w:t>
      </w:r>
      <w:r w:rsidR="00E33E66" w:rsidRPr="008A138C">
        <w:rPr>
          <w:rFonts w:ascii="Times New Roman" w:hAnsi="Times New Roman" w:cs="Times New Roman"/>
          <w:sz w:val="24"/>
          <w:szCs w:val="24"/>
          <w:lang w:val="es-ES"/>
        </w:rPr>
        <w:t xml:space="preserve"> en Oaxaca</w:t>
      </w:r>
      <w:r w:rsidR="004A332A" w:rsidRPr="008A138C">
        <w:rPr>
          <w:rFonts w:ascii="Times New Roman" w:hAnsi="Times New Roman" w:cs="Times New Roman"/>
          <w:sz w:val="24"/>
          <w:szCs w:val="24"/>
          <w:lang w:val="es-ES"/>
        </w:rPr>
        <w:t xml:space="preserve"> </w:t>
      </w:r>
      <w:r w:rsidR="004A2EC2" w:rsidRPr="008A138C">
        <w:rPr>
          <w:rFonts w:ascii="Times New Roman" w:hAnsi="Times New Roman" w:cs="Times New Roman"/>
          <w:sz w:val="24"/>
          <w:szCs w:val="24"/>
          <w:lang w:val="es-ES"/>
        </w:rPr>
        <w:t>han sido</w:t>
      </w:r>
      <w:r w:rsidR="00990A0C" w:rsidRPr="008A138C">
        <w:rPr>
          <w:rFonts w:ascii="Times New Roman" w:hAnsi="Times New Roman" w:cs="Times New Roman"/>
          <w:sz w:val="24"/>
          <w:szCs w:val="24"/>
          <w:lang w:val="es-ES"/>
        </w:rPr>
        <w:t xml:space="preserve">: </w:t>
      </w:r>
      <w:r w:rsidR="00990A0C" w:rsidRPr="008A138C">
        <w:rPr>
          <w:rFonts w:ascii="Times New Roman" w:hAnsi="Times New Roman" w:cs="Times New Roman"/>
          <w:b/>
          <w:bCs/>
          <w:sz w:val="24"/>
          <w:szCs w:val="24"/>
          <w:lang w:val="es-ES"/>
        </w:rPr>
        <w:t>i)</w:t>
      </w:r>
      <w:r w:rsidR="00990A0C" w:rsidRPr="008A138C">
        <w:rPr>
          <w:rFonts w:ascii="Times New Roman" w:hAnsi="Times New Roman" w:cs="Times New Roman"/>
          <w:sz w:val="24"/>
          <w:szCs w:val="24"/>
          <w:lang w:val="es-ES"/>
        </w:rPr>
        <w:t xml:space="preserve"> </w:t>
      </w:r>
      <w:r w:rsidR="00EA218F" w:rsidRPr="008A138C">
        <w:rPr>
          <w:rFonts w:ascii="Times New Roman" w:hAnsi="Times New Roman" w:cs="Times New Roman"/>
          <w:sz w:val="24"/>
          <w:szCs w:val="24"/>
          <w:lang w:val="es-ES"/>
        </w:rPr>
        <w:t>Salomón Jara Cruz (2022-</w:t>
      </w:r>
      <w:r w:rsidR="008C02BC" w:rsidRPr="008A138C">
        <w:rPr>
          <w:rFonts w:ascii="Times New Roman" w:hAnsi="Times New Roman" w:cs="Times New Roman"/>
          <w:sz w:val="24"/>
          <w:szCs w:val="24"/>
          <w:lang w:val="es-ES"/>
        </w:rPr>
        <w:t>2028</w:t>
      </w:r>
      <w:r w:rsidR="00EA218F" w:rsidRPr="008A138C">
        <w:rPr>
          <w:rFonts w:ascii="Times New Roman" w:hAnsi="Times New Roman" w:cs="Times New Roman"/>
          <w:sz w:val="24"/>
          <w:szCs w:val="24"/>
          <w:lang w:val="es-ES"/>
        </w:rPr>
        <w:t xml:space="preserve">); </w:t>
      </w:r>
      <w:r w:rsidR="00DC718D" w:rsidRPr="008A138C">
        <w:rPr>
          <w:rFonts w:ascii="Times New Roman" w:hAnsi="Times New Roman" w:cs="Times New Roman"/>
          <w:b/>
          <w:bCs/>
          <w:sz w:val="24"/>
          <w:szCs w:val="24"/>
          <w:lang w:val="es-ES"/>
        </w:rPr>
        <w:t>ii)</w:t>
      </w:r>
      <w:r w:rsidR="00DC718D" w:rsidRPr="008A138C">
        <w:rPr>
          <w:rFonts w:ascii="Times New Roman" w:hAnsi="Times New Roman" w:cs="Times New Roman"/>
          <w:sz w:val="24"/>
          <w:szCs w:val="24"/>
          <w:lang w:val="es-ES"/>
        </w:rPr>
        <w:t xml:space="preserve"> Alejandro Murat Hinojosa (2016-2022)</w:t>
      </w:r>
      <w:r w:rsidR="00E7759E" w:rsidRPr="008A138C">
        <w:rPr>
          <w:rFonts w:ascii="Times New Roman" w:hAnsi="Times New Roman" w:cs="Times New Roman"/>
          <w:sz w:val="24"/>
          <w:szCs w:val="24"/>
          <w:lang w:val="es-ES"/>
        </w:rPr>
        <w:t xml:space="preserve">; </w:t>
      </w:r>
      <w:r w:rsidR="00E7759E" w:rsidRPr="008A138C">
        <w:rPr>
          <w:rFonts w:ascii="Times New Roman" w:hAnsi="Times New Roman" w:cs="Times New Roman"/>
          <w:b/>
          <w:bCs/>
          <w:sz w:val="24"/>
          <w:szCs w:val="24"/>
          <w:lang w:val="es-ES"/>
        </w:rPr>
        <w:t>iii)</w:t>
      </w:r>
      <w:r w:rsidR="00E7759E" w:rsidRPr="008A138C">
        <w:rPr>
          <w:rFonts w:ascii="Times New Roman" w:hAnsi="Times New Roman" w:cs="Times New Roman"/>
          <w:sz w:val="24"/>
          <w:szCs w:val="24"/>
          <w:lang w:val="es-ES"/>
        </w:rPr>
        <w:t xml:space="preserve"> Gabino Cué Monteagudo (2010-2016), y </w:t>
      </w:r>
      <w:r w:rsidR="00E7759E" w:rsidRPr="008A138C">
        <w:rPr>
          <w:rFonts w:ascii="Times New Roman" w:hAnsi="Times New Roman" w:cs="Times New Roman"/>
          <w:b/>
          <w:bCs/>
          <w:sz w:val="24"/>
          <w:szCs w:val="24"/>
          <w:lang w:val="es-ES"/>
        </w:rPr>
        <w:t>iv)</w:t>
      </w:r>
      <w:r w:rsidR="00E7759E" w:rsidRPr="008A138C">
        <w:rPr>
          <w:rFonts w:ascii="Times New Roman" w:hAnsi="Times New Roman" w:cs="Times New Roman"/>
          <w:sz w:val="24"/>
          <w:szCs w:val="24"/>
          <w:lang w:val="es-ES"/>
        </w:rPr>
        <w:t xml:space="preserve"> </w:t>
      </w:r>
      <w:r w:rsidR="0012330E" w:rsidRPr="008A138C">
        <w:rPr>
          <w:rFonts w:ascii="Times New Roman" w:hAnsi="Times New Roman" w:cs="Times New Roman"/>
          <w:sz w:val="24"/>
          <w:szCs w:val="24"/>
          <w:lang w:val="es-ES"/>
        </w:rPr>
        <w:t>Ulises Ernesto Ruíz Ortiz (2004-2010).</w:t>
      </w:r>
      <w:r w:rsidR="00E33E66" w:rsidRPr="008A138C">
        <w:rPr>
          <w:rFonts w:ascii="Times New Roman" w:hAnsi="Times New Roman" w:cs="Times New Roman"/>
          <w:sz w:val="24"/>
          <w:szCs w:val="24"/>
          <w:lang w:val="es-ES"/>
        </w:rPr>
        <w:t xml:space="preserve"> En consecuencia, la próxima Gubernatura de la entidad correspondería</w:t>
      </w:r>
      <w:r w:rsidR="000B5C49" w:rsidRPr="008A138C">
        <w:rPr>
          <w:rFonts w:ascii="Times New Roman" w:hAnsi="Times New Roman" w:cs="Times New Roman"/>
          <w:sz w:val="24"/>
          <w:szCs w:val="24"/>
          <w:lang w:val="es-ES"/>
        </w:rPr>
        <w:t xml:space="preserve"> ordinariamente</w:t>
      </w:r>
      <w:r w:rsidR="00E33E66" w:rsidRPr="008A138C">
        <w:rPr>
          <w:rFonts w:ascii="Times New Roman" w:hAnsi="Times New Roman" w:cs="Times New Roman"/>
          <w:sz w:val="24"/>
          <w:szCs w:val="24"/>
          <w:lang w:val="es-ES"/>
        </w:rPr>
        <w:t xml:space="preserve"> al periodo 20</w:t>
      </w:r>
      <w:r w:rsidR="001E1800" w:rsidRPr="008A138C">
        <w:rPr>
          <w:rFonts w:ascii="Times New Roman" w:hAnsi="Times New Roman" w:cs="Times New Roman"/>
          <w:sz w:val="24"/>
          <w:szCs w:val="24"/>
          <w:lang w:val="es-ES"/>
        </w:rPr>
        <w:t>28-2034, de ahí que</w:t>
      </w:r>
      <w:r w:rsidR="00E127CC" w:rsidRPr="008A138C">
        <w:rPr>
          <w:rFonts w:ascii="Times New Roman" w:hAnsi="Times New Roman" w:cs="Times New Roman"/>
          <w:sz w:val="24"/>
          <w:szCs w:val="24"/>
          <w:lang w:val="es-ES"/>
        </w:rPr>
        <w:t>,</w:t>
      </w:r>
      <w:r w:rsidR="001E1800" w:rsidRPr="008A138C">
        <w:rPr>
          <w:rFonts w:ascii="Times New Roman" w:hAnsi="Times New Roman" w:cs="Times New Roman"/>
          <w:sz w:val="24"/>
          <w:szCs w:val="24"/>
          <w:lang w:val="es-ES"/>
        </w:rPr>
        <w:t xml:space="preserve"> para </w:t>
      </w:r>
      <w:r w:rsidR="00E127CC" w:rsidRPr="008A138C">
        <w:rPr>
          <w:rFonts w:ascii="Times New Roman" w:hAnsi="Times New Roman" w:cs="Times New Roman"/>
          <w:sz w:val="24"/>
          <w:szCs w:val="24"/>
          <w:lang w:val="es-ES"/>
        </w:rPr>
        <w:t>lograr la concurrencia con la elección de la Presidencia de la República, como fue la pretensión del Poder Constituyente local, resultaba necesario</w:t>
      </w:r>
      <w:r w:rsidR="007D792E" w:rsidRPr="008A138C">
        <w:rPr>
          <w:rFonts w:ascii="Times New Roman" w:hAnsi="Times New Roman" w:cs="Times New Roman"/>
          <w:sz w:val="24"/>
          <w:szCs w:val="24"/>
          <w:lang w:val="es-ES"/>
        </w:rPr>
        <w:t xml:space="preserve"> que el próximo encargo, de manera excepcional, tuviera una duración menor.</w:t>
      </w:r>
    </w:p>
  </w:footnote>
  <w:footnote w:id="9">
    <w:p w14:paraId="33D18046" w14:textId="543B7A76" w:rsidR="00DE7FF9" w:rsidRPr="008A138C" w:rsidRDefault="00BA1CDF" w:rsidP="008D3E52">
      <w:pPr>
        <w:pStyle w:val="Textonotapie"/>
        <w:spacing w:after="120"/>
        <w:ind w:left="284" w:hanging="284"/>
        <w:rPr>
          <w:rFonts w:ascii="Times New Roman" w:hAnsi="Times New Roman" w:cs="Times New Roman"/>
          <w:sz w:val="24"/>
          <w:szCs w:val="24"/>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DE7FF9" w:rsidRPr="008A138C">
        <w:rPr>
          <w:rFonts w:ascii="Times New Roman" w:hAnsi="Times New Roman" w:cs="Times New Roman"/>
          <w:b/>
          <w:bCs/>
          <w:sz w:val="24"/>
          <w:szCs w:val="24"/>
        </w:rPr>
        <w:t>Artículo 69.</w:t>
      </w:r>
      <w:r w:rsidR="00DE7FF9" w:rsidRPr="008A138C">
        <w:rPr>
          <w:rFonts w:ascii="Times New Roman" w:hAnsi="Times New Roman" w:cs="Times New Roman"/>
          <w:sz w:val="24"/>
          <w:szCs w:val="24"/>
        </w:rPr>
        <w:t xml:space="preserve"> El Gobernador rendirá la protesta de Ley el primero de diciembre del año de su renovación y enseguida tomará posesión de su encargo, que durará seis años. Nunca podrá ser reelecto para otro periodo constitucional.</w:t>
      </w:r>
    </w:p>
    <w:p w14:paraId="0B2C0BE8" w14:textId="77777777" w:rsidR="00DE7FF9" w:rsidRPr="008A138C" w:rsidRDefault="00DE7FF9">
      <w:pPr>
        <w:pStyle w:val="Textonotapie"/>
        <w:rPr>
          <w:rFonts w:ascii="Times New Roman" w:hAnsi="Times New Roman" w:cs="Times New Roman"/>
          <w:sz w:val="24"/>
          <w:szCs w:val="24"/>
          <w:lang w:val="es-ES"/>
        </w:rPr>
      </w:pPr>
    </w:p>
  </w:footnote>
  <w:footnote w:id="10">
    <w:p w14:paraId="572D52BA" w14:textId="091E2057" w:rsidR="00B532B6" w:rsidRPr="008A138C" w:rsidRDefault="00B532B6" w:rsidP="00F26206">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 xml:space="preserve">De conformidad con la Jurisprudencia </w:t>
      </w:r>
      <w:r w:rsidR="00F43B32" w:rsidRPr="008A138C">
        <w:rPr>
          <w:rFonts w:ascii="Times New Roman" w:hAnsi="Times New Roman" w:cs="Times New Roman"/>
          <w:sz w:val="24"/>
          <w:szCs w:val="24"/>
        </w:rPr>
        <w:t>25/99, de rubro “</w:t>
      </w:r>
      <w:r w:rsidR="00F43B32" w:rsidRPr="008A138C">
        <w:rPr>
          <w:rFonts w:ascii="Times New Roman" w:hAnsi="Times New Roman" w:cs="Times New Roman"/>
          <w:b/>
          <w:bCs/>
          <w:sz w:val="24"/>
          <w:szCs w:val="24"/>
        </w:rPr>
        <w:t>ACCIÓN DE INCONSTITUCIONALIDAD. MATERIA ELECTORAL PARA LOS EFECTOS DEL PROCEDIMIENTO RELATIVO</w:t>
      </w:r>
      <w:r w:rsidR="00F43B32" w:rsidRPr="008A138C">
        <w:rPr>
          <w:rFonts w:ascii="Times New Roman" w:hAnsi="Times New Roman" w:cs="Times New Roman"/>
          <w:sz w:val="24"/>
          <w:szCs w:val="24"/>
        </w:rPr>
        <w:t>”.</w:t>
      </w:r>
      <w:r w:rsidR="00F26206" w:rsidRPr="008A138C">
        <w:rPr>
          <w:rFonts w:ascii="Times New Roman" w:hAnsi="Times New Roman" w:cs="Times New Roman"/>
          <w:sz w:val="24"/>
          <w:szCs w:val="24"/>
        </w:rPr>
        <w:t xml:space="preserve"> Pleno; Novena Época;</w:t>
      </w:r>
      <w:r w:rsidR="00F43B32" w:rsidRPr="008A138C">
        <w:rPr>
          <w:rFonts w:ascii="Times New Roman" w:hAnsi="Times New Roman" w:cs="Times New Roman"/>
          <w:sz w:val="24"/>
          <w:szCs w:val="24"/>
        </w:rPr>
        <w:t xml:space="preserve"> Semanario Judicial de la Federación y su Gaceta,</w:t>
      </w:r>
      <w:r w:rsidR="00F43B32" w:rsidRPr="008A138C">
        <w:rPr>
          <w:rFonts w:ascii="Times New Roman" w:hAnsi="Times New Roman" w:cs="Times New Roman"/>
          <w:sz w:val="24"/>
          <w:szCs w:val="24"/>
        </w:rPr>
        <w:br/>
        <w:t xml:space="preserve">Tomo IX, Abril de 1999, página 255, registro digital </w:t>
      </w:r>
      <w:r w:rsidR="00F26206" w:rsidRPr="008A138C">
        <w:rPr>
          <w:rFonts w:ascii="Times New Roman" w:hAnsi="Times New Roman" w:cs="Times New Roman"/>
          <w:sz w:val="24"/>
          <w:szCs w:val="24"/>
        </w:rPr>
        <w:t>194155</w:t>
      </w:r>
      <w:r w:rsidR="00F43B32" w:rsidRPr="008A138C">
        <w:rPr>
          <w:rFonts w:ascii="Times New Roman" w:hAnsi="Times New Roman" w:cs="Times New Roman"/>
          <w:sz w:val="24"/>
          <w:szCs w:val="24"/>
        </w:rPr>
        <w:t>.</w:t>
      </w:r>
    </w:p>
  </w:footnote>
  <w:footnote w:id="11">
    <w:p w14:paraId="4C021E70" w14:textId="77777777" w:rsidR="00563821" w:rsidRPr="008A138C" w:rsidRDefault="00563821" w:rsidP="00563821">
      <w:pPr>
        <w:pStyle w:val="Textonotapie"/>
        <w:snapToGrid w:val="0"/>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w:t>
      </w:r>
      <w:r w:rsidRPr="008A138C">
        <w:rPr>
          <w:rFonts w:ascii="Times New Roman" w:hAnsi="Times New Roman" w:cs="Times New Roman"/>
          <w:b/>
          <w:sz w:val="24"/>
          <w:szCs w:val="24"/>
          <w:lang w:val="es-ES_tradnl"/>
        </w:rPr>
        <w:t>Artículo 60</w:t>
      </w:r>
      <w:r w:rsidRPr="008A138C">
        <w:rPr>
          <w:rFonts w:ascii="Times New Roman" w:hAnsi="Times New Roman" w:cs="Times New Roman"/>
          <w:sz w:val="24"/>
          <w:szCs w:val="24"/>
          <w:lang w:val="es-ES_tradnl"/>
        </w:rPr>
        <w:t>.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footnote>
  <w:footnote w:id="12">
    <w:p w14:paraId="08569904" w14:textId="77777777" w:rsidR="00563821" w:rsidRPr="008A138C" w:rsidRDefault="00563821" w:rsidP="00563821">
      <w:pPr>
        <w:pStyle w:val="Textonotapie"/>
        <w:snapToGrid w:val="0"/>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En adelante también se le denominará “Ley Reglamentaria”.</w:t>
      </w:r>
    </w:p>
  </w:footnote>
  <w:footnote w:id="13">
    <w:p w14:paraId="4AAF6D9B" w14:textId="3021F6F7" w:rsidR="001D0A8C" w:rsidRPr="008A138C" w:rsidRDefault="001D0A8C" w:rsidP="001D0A8C">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El cual está disponible en la página oficial del Periódico Oficial del Estado de Oaxaca: &lt;</w:t>
      </w:r>
      <w:hyperlink r:id="rId1" w:history="1">
        <w:r w:rsidRPr="008A138C">
          <w:rPr>
            <w:rStyle w:val="Hipervnculo"/>
            <w:rFonts w:ascii="Times New Roman" w:hAnsi="Times New Roman" w:cs="Times New Roman"/>
            <w:sz w:val="24"/>
            <w:szCs w:val="24"/>
          </w:rPr>
          <w:t>http://www.periodicooficial.oaxaca.gob.mx/files/2023/12/SEC52-07MA-2023-12-30.pdf</w:t>
        </w:r>
      </w:hyperlink>
      <w:r w:rsidRPr="008A138C">
        <w:rPr>
          <w:rFonts w:ascii="Times New Roman" w:hAnsi="Times New Roman" w:cs="Times New Roman"/>
          <w:sz w:val="24"/>
          <w:szCs w:val="24"/>
          <w:lang w:val="es-ES"/>
        </w:rPr>
        <w:t xml:space="preserve">&gt; </w:t>
      </w:r>
    </w:p>
  </w:footnote>
  <w:footnote w:id="14">
    <w:p w14:paraId="0797AC6F" w14:textId="5354A92B" w:rsidR="00A05AE5" w:rsidRPr="008A138C" w:rsidRDefault="00A05AE5" w:rsidP="00C31520">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C31520" w:rsidRPr="008A138C">
        <w:rPr>
          <w:rFonts w:ascii="Times New Roman" w:hAnsi="Times New Roman" w:cs="Times New Roman"/>
          <w:sz w:val="24"/>
          <w:szCs w:val="24"/>
          <w:lang w:val="es-ES"/>
        </w:rPr>
        <w:t>S</w:t>
      </w:r>
      <w:r w:rsidRPr="008A138C">
        <w:rPr>
          <w:rFonts w:ascii="Times New Roman" w:hAnsi="Times New Roman" w:cs="Times New Roman"/>
          <w:sz w:val="24"/>
          <w:szCs w:val="24"/>
          <w:lang w:val="es-ES"/>
        </w:rPr>
        <w:t xml:space="preserve">egún consta en </w:t>
      </w:r>
      <w:r w:rsidR="00C31520" w:rsidRPr="008A138C">
        <w:rPr>
          <w:rFonts w:ascii="Times New Roman" w:hAnsi="Times New Roman" w:cs="Times New Roman"/>
          <w:sz w:val="24"/>
          <w:szCs w:val="24"/>
          <w:lang w:val="es-ES"/>
        </w:rPr>
        <w:t>el</w:t>
      </w:r>
      <w:r w:rsidRPr="008A138C">
        <w:rPr>
          <w:rFonts w:ascii="Times New Roman" w:hAnsi="Times New Roman" w:cs="Times New Roman"/>
          <w:sz w:val="24"/>
          <w:szCs w:val="24"/>
          <w:lang w:val="es-ES"/>
        </w:rPr>
        <w:t xml:space="preserve"> sello </w:t>
      </w:r>
      <w:r w:rsidRPr="008A138C">
        <w:rPr>
          <w:rFonts w:ascii="Times New Roman" w:hAnsi="Times New Roman" w:cs="Times New Roman"/>
          <w:sz w:val="24"/>
          <w:szCs w:val="24"/>
          <w:lang w:val="es-ES_tradnl"/>
        </w:rPr>
        <w:t xml:space="preserve">de recepción de la Oficina de Certificación Judicial y Correspondencia de esta Suprema Corte </w:t>
      </w:r>
      <w:r w:rsidRPr="008A138C">
        <w:rPr>
          <w:rFonts w:ascii="Times New Roman" w:hAnsi="Times New Roman" w:cs="Times New Roman"/>
          <w:sz w:val="24"/>
          <w:szCs w:val="24"/>
          <w:lang w:val="es-ES"/>
        </w:rPr>
        <w:t xml:space="preserve">plasmado en </w:t>
      </w:r>
      <w:r w:rsidR="00C31520" w:rsidRPr="008A138C">
        <w:rPr>
          <w:rFonts w:ascii="Times New Roman" w:hAnsi="Times New Roman" w:cs="Times New Roman"/>
          <w:sz w:val="24"/>
          <w:szCs w:val="24"/>
          <w:lang w:val="es-ES"/>
        </w:rPr>
        <w:t>el escrito inicial</w:t>
      </w:r>
      <w:r w:rsidRPr="008A138C">
        <w:rPr>
          <w:rFonts w:ascii="Times New Roman" w:hAnsi="Times New Roman" w:cs="Times New Roman"/>
          <w:sz w:val="24"/>
          <w:szCs w:val="24"/>
          <w:lang w:val="es-ES"/>
        </w:rPr>
        <w:t>.</w:t>
      </w:r>
    </w:p>
  </w:footnote>
  <w:footnote w:id="15">
    <w:p w14:paraId="11173129" w14:textId="2FDD763B" w:rsidR="00A019AC" w:rsidRPr="008A138C" w:rsidRDefault="00A019AC" w:rsidP="0022528D">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6761B4" w:rsidRPr="008A138C">
        <w:rPr>
          <w:rFonts w:ascii="Times New Roman" w:hAnsi="Times New Roman" w:cs="Times New Roman"/>
          <w:sz w:val="24"/>
          <w:szCs w:val="24"/>
        </w:rPr>
        <w:t>En términos de</w:t>
      </w:r>
      <w:r w:rsidR="00005656" w:rsidRPr="008A138C">
        <w:rPr>
          <w:rFonts w:ascii="Times New Roman" w:hAnsi="Times New Roman" w:cs="Times New Roman"/>
          <w:sz w:val="24"/>
          <w:szCs w:val="24"/>
        </w:rPr>
        <w:t xml:space="preserve"> la Jurisprudencia 2/99, de rubro “</w:t>
      </w:r>
      <w:r w:rsidR="00005656" w:rsidRPr="008A138C">
        <w:rPr>
          <w:rFonts w:ascii="Times New Roman" w:hAnsi="Times New Roman" w:cs="Times New Roman"/>
          <w:b/>
          <w:bCs/>
          <w:sz w:val="24"/>
          <w:szCs w:val="24"/>
        </w:rPr>
        <w:t>ACCIÓN DE INCONSTITUCIONALIDAD. EL PLAZO PARA INTERPONERLA ES A PARTIR DEL DÍA SIGUIENTE DE LA PUBLICACIÓN OFICIAL DE LA NORMA IMPUGNADA</w:t>
      </w:r>
      <w:r w:rsidR="00005656" w:rsidRPr="008A138C">
        <w:rPr>
          <w:rFonts w:ascii="Times New Roman" w:hAnsi="Times New Roman" w:cs="Times New Roman"/>
          <w:sz w:val="24"/>
          <w:szCs w:val="24"/>
        </w:rPr>
        <w:t xml:space="preserve">”. Pleno; Novena Época; </w:t>
      </w:r>
      <w:r w:rsidR="006761B4" w:rsidRPr="008A138C">
        <w:rPr>
          <w:rFonts w:ascii="Times New Roman" w:hAnsi="Times New Roman" w:cs="Times New Roman"/>
          <w:sz w:val="24"/>
          <w:szCs w:val="24"/>
        </w:rPr>
        <w:t xml:space="preserve">Semanario Judicial de la Federación y su Gaceta, Tomo IX, Febrero de 1999, página 287, registro digital 194619. También sirve como respaldo la Jurisprudencia </w:t>
      </w:r>
      <w:r w:rsidR="00EA644F" w:rsidRPr="008A138C">
        <w:rPr>
          <w:rFonts w:ascii="Times New Roman" w:hAnsi="Times New Roman" w:cs="Times New Roman"/>
          <w:sz w:val="24"/>
          <w:szCs w:val="24"/>
        </w:rPr>
        <w:t>66/2000, de rubro “</w:t>
      </w:r>
      <w:r w:rsidR="00EA644F" w:rsidRPr="008A138C">
        <w:rPr>
          <w:rFonts w:ascii="Times New Roman" w:hAnsi="Times New Roman" w:cs="Times New Roman"/>
          <w:b/>
          <w:bCs/>
          <w:sz w:val="24"/>
          <w:szCs w:val="24"/>
        </w:rPr>
        <w:t>ACCIÓN DE INCONSTITUCIONALIDAD. CÓMPUTO DEL PLAZO PARA SU EJERCICIO TRATÁNDOSE DE LA MATERIA ELECTORAL. DEBE REALIZARSE A PARTIR DEL DÍA SIGUIENTE AL DE LA PUBLICACIÓN OFICIAL DE LA NORMA IMPUGNADA Y NO CON MOTIVO DE SU APLICACIÓN O DE OTRAS SITUACIONES DIVERSAS</w:t>
      </w:r>
      <w:r w:rsidR="00EA644F" w:rsidRPr="008A138C">
        <w:rPr>
          <w:rFonts w:ascii="Times New Roman" w:hAnsi="Times New Roman" w:cs="Times New Roman"/>
          <w:sz w:val="24"/>
          <w:szCs w:val="24"/>
        </w:rPr>
        <w:t xml:space="preserve">”. Pleno; Novena Época; Semanario Judicial de la Federación y su Gaceta, Tomo XII, Agosto de 2000, página 483, registro digital </w:t>
      </w:r>
      <w:r w:rsidR="006A1AF4" w:rsidRPr="008A138C">
        <w:rPr>
          <w:rFonts w:ascii="Times New Roman" w:hAnsi="Times New Roman" w:cs="Times New Roman"/>
          <w:sz w:val="24"/>
          <w:szCs w:val="24"/>
        </w:rPr>
        <w:t>191386</w:t>
      </w:r>
      <w:r w:rsidR="00EA644F" w:rsidRPr="008A138C">
        <w:rPr>
          <w:rFonts w:ascii="Times New Roman" w:hAnsi="Times New Roman" w:cs="Times New Roman"/>
          <w:sz w:val="24"/>
          <w:szCs w:val="24"/>
        </w:rPr>
        <w:t>.</w:t>
      </w:r>
    </w:p>
  </w:footnote>
  <w:footnote w:id="16">
    <w:p w14:paraId="19CB59F0" w14:textId="77777777" w:rsidR="00F31FB9" w:rsidRPr="008A138C" w:rsidRDefault="00F31FB9" w:rsidP="00F31FB9">
      <w:pPr>
        <w:pStyle w:val="Textonotapie"/>
        <w:adjustRightInd w:val="0"/>
        <w:snapToGrid w:val="0"/>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w:t>
      </w:r>
      <w:r w:rsidRPr="008A138C">
        <w:rPr>
          <w:rFonts w:ascii="Times New Roman" w:hAnsi="Times New Roman" w:cs="Times New Roman"/>
          <w:b/>
          <w:bCs/>
          <w:sz w:val="24"/>
          <w:szCs w:val="24"/>
          <w:lang w:val="es-ES_tradnl"/>
        </w:rPr>
        <w:t>Artículo 105</w:t>
      </w:r>
      <w:r w:rsidRPr="008A138C">
        <w:rPr>
          <w:rFonts w:ascii="Times New Roman" w:hAnsi="Times New Roman" w:cs="Times New Roman"/>
          <w:sz w:val="24"/>
          <w:szCs w:val="24"/>
          <w:lang w:val="es-ES_tradnl"/>
        </w:rPr>
        <w:t>. La Suprema Corte de Justicia de la Nación conocerá, en los términos que señale la ley reglamentaria, de los asuntos siguientes: […]</w:t>
      </w:r>
    </w:p>
    <w:p w14:paraId="2946198D" w14:textId="77777777" w:rsidR="00F31FB9" w:rsidRPr="008A138C" w:rsidRDefault="00F31FB9" w:rsidP="00F31FB9">
      <w:pPr>
        <w:pStyle w:val="Textonotapie"/>
        <w:adjustRightInd w:val="0"/>
        <w:snapToGrid w:val="0"/>
        <w:spacing w:after="120"/>
        <w:ind w:left="568" w:hanging="284"/>
        <w:rPr>
          <w:rFonts w:ascii="Times New Roman" w:hAnsi="Times New Roman" w:cs="Times New Roman"/>
          <w:sz w:val="24"/>
          <w:szCs w:val="24"/>
          <w:lang w:val="es-ES_tradnl"/>
        </w:rPr>
      </w:pPr>
      <w:r w:rsidRPr="008A138C">
        <w:rPr>
          <w:rFonts w:ascii="Times New Roman" w:hAnsi="Times New Roman" w:cs="Times New Roman"/>
          <w:b/>
          <w:bCs/>
          <w:sz w:val="24"/>
          <w:szCs w:val="24"/>
          <w:lang w:val="es-ES_tradnl"/>
        </w:rPr>
        <w:t>II</w:t>
      </w:r>
      <w:r w:rsidRPr="008A138C">
        <w:rPr>
          <w:rFonts w:ascii="Times New Roman" w:hAnsi="Times New Roman" w:cs="Times New Roman"/>
          <w:sz w:val="24"/>
          <w:szCs w:val="24"/>
          <w:lang w:val="es-ES_tradnl"/>
        </w:rPr>
        <w:t>. De las acciones de inconstitucionalidad que tengan por objeto plantear la posible contradicción entre una norma de carácter general y esta Constitución.</w:t>
      </w:r>
    </w:p>
    <w:p w14:paraId="5168B493" w14:textId="7A0000BC" w:rsidR="00F31FB9" w:rsidRPr="008A138C" w:rsidRDefault="00F31FB9" w:rsidP="00F31FB9">
      <w:pPr>
        <w:pStyle w:val="Textonotapie"/>
        <w:adjustRightInd w:val="0"/>
        <w:snapToGrid w:val="0"/>
        <w:spacing w:after="120"/>
        <w:ind w:left="568" w:hanging="284"/>
        <w:rPr>
          <w:rFonts w:ascii="Times New Roman" w:hAnsi="Times New Roman" w:cs="Times New Roman"/>
          <w:sz w:val="24"/>
          <w:szCs w:val="24"/>
          <w:lang w:val="es-ES_tradnl"/>
        </w:rPr>
      </w:pPr>
      <w:r w:rsidRPr="008A138C">
        <w:rPr>
          <w:rFonts w:ascii="Times New Roman" w:hAnsi="Times New Roman" w:cs="Times New Roman"/>
          <w:sz w:val="24"/>
          <w:szCs w:val="24"/>
          <w:lang w:val="es-ES_tradnl"/>
        </w:rPr>
        <w:t>Las acciones de inconstitucionalidad podrán ejercitarse, dentro de los treinta días naturales siguientes a la fecha de publicación de la norma, por: […]</w:t>
      </w:r>
    </w:p>
    <w:p w14:paraId="223305B7" w14:textId="01AB62C5" w:rsidR="00F31FB9" w:rsidRPr="008A138C" w:rsidRDefault="00F31FB9" w:rsidP="00F31FB9">
      <w:pPr>
        <w:pStyle w:val="Textonotapie"/>
        <w:adjustRightInd w:val="0"/>
        <w:snapToGrid w:val="0"/>
        <w:spacing w:after="120"/>
        <w:ind w:left="851" w:hanging="284"/>
        <w:rPr>
          <w:rFonts w:ascii="Times New Roman" w:hAnsi="Times New Roman" w:cs="Times New Roman"/>
          <w:sz w:val="24"/>
          <w:szCs w:val="24"/>
          <w:lang w:val="es-ES_tradnl"/>
        </w:rPr>
      </w:pPr>
      <w:r w:rsidRPr="008A138C">
        <w:rPr>
          <w:rFonts w:ascii="Times New Roman" w:hAnsi="Times New Roman" w:cs="Times New Roman"/>
          <w:b/>
          <w:bCs/>
          <w:sz w:val="24"/>
          <w:szCs w:val="24"/>
          <w:lang w:val="es-ES_tradnl"/>
        </w:rPr>
        <w:t>f)</w:t>
      </w:r>
      <w:r w:rsidRPr="008A138C">
        <w:rPr>
          <w:rFonts w:ascii="Times New Roman" w:hAnsi="Times New Roman" w:cs="Times New Roman"/>
          <w:sz w:val="24"/>
          <w:szCs w:val="24"/>
          <w:lang w:val="es-ES_tradnl"/>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17">
    <w:p w14:paraId="1AEC599B" w14:textId="465B5C80" w:rsidR="009D6F15" w:rsidRPr="008A138C" w:rsidRDefault="009D6F15" w:rsidP="00F06008">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También es aplicable el tercer párrafo del artículo 62 de la Ley Reglamentaria, en el que se señala: </w:t>
      </w:r>
      <w:r w:rsidR="00196E88" w:rsidRPr="008A138C">
        <w:rPr>
          <w:rFonts w:ascii="Times New Roman" w:hAnsi="Times New Roman" w:cs="Times New Roman"/>
          <w:sz w:val="24"/>
          <w:szCs w:val="24"/>
          <w:lang w:val="es-ES_tradnl"/>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8">
    <w:p w14:paraId="1DCA3180" w14:textId="55F2F391" w:rsidR="00806DC9" w:rsidRPr="008A138C" w:rsidRDefault="00806DC9" w:rsidP="00C30478">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w:t>
      </w:r>
      <w:r w:rsidR="002C5FF3" w:rsidRPr="008A138C">
        <w:rPr>
          <w:rFonts w:ascii="Times New Roman" w:hAnsi="Times New Roman" w:cs="Times New Roman"/>
          <w:sz w:val="24"/>
          <w:szCs w:val="24"/>
          <w:lang w:val="es-ES_tradnl"/>
        </w:rPr>
        <w:t xml:space="preserve">En el expediente obra </w:t>
      </w:r>
      <w:r w:rsidR="007057D2" w:rsidRPr="008A138C">
        <w:rPr>
          <w:rFonts w:ascii="Times New Roman" w:hAnsi="Times New Roman" w:cs="Times New Roman"/>
          <w:sz w:val="24"/>
          <w:szCs w:val="24"/>
          <w:lang w:val="es-ES_tradnl"/>
        </w:rPr>
        <w:t xml:space="preserve">la certificación por parte de la Directora del Secretariado del Instituto Nacional Electoral respecto al registro del PAN como partido político nacional </w:t>
      </w:r>
      <w:r w:rsidR="000C296C" w:rsidRPr="008A138C">
        <w:rPr>
          <w:rFonts w:ascii="Times New Roman" w:hAnsi="Times New Roman" w:cs="Times New Roman"/>
          <w:sz w:val="24"/>
          <w:szCs w:val="24"/>
          <w:lang w:val="es-ES_tradnl"/>
        </w:rPr>
        <w:t>desde el año mil novecientos cuarenta y a que se mantiene vigente.</w:t>
      </w:r>
    </w:p>
  </w:footnote>
  <w:footnote w:id="19">
    <w:p w14:paraId="767C956F" w14:textId="764D1F07" w:rsidR="00290DE2" w:rsidRPr="008A138C" w:rsidRDefault="00290DE2" w:rsidP="00236DC8">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 xml:space="preserve">Dicho carácter se demuestra a través de la certificación expedida por </w:t>
      </w:r>
      <w:r w:rsidR="005B0AC5" w:rsidRPr="008A138C">
        <w:rPr>
          <w:rFonts w:ascii="Times New Roman" w:hAnsi="Times New Roman" w:cs="Times New Roman"/>
          <w:sz w:val="24"/>
          <w:szCs w:val="24"/>
          <w:lang w:val="es-ES_tradnl"/>
        </w:rPr>
        <w:t>la Directora del Secretariado del Instituto Nacional Electoral</w:t>
      </w:r>
      <w:r w:rsidR="00B112E0" w:rsidRPr="008A138C">
        <w:rPr>
          <w:rFonts w:ascii="Times New Roman" w:hAnsi="Times New Roman" w:cs="Times New Roman"/>
          <w:sz w:val="24"/>
          <w:szCs w:val="24"/>
          <w:lang w:val="es-ES_tradnl"/>
        </w:rPr>
        <w:t xml:space="preserve">, de </w:t>
      </w:r>
      <w:r w:rsidR="00D052CA" w:rsidRPr="008A138C">
        <w:rPr>
          <w:rFonts w:ascii="Times New Roman" w:hAnsi="Times New Roman" w:cs="Times New Roman"/>
          <w:sz w:val="24"/>
          <w:szCs w:val="24"/>
          <w:lang w:val="es-ES_tradnl"/>
        </w:rPr>
        <w:t>dieciocho</w:t>
      </w:r>
      <w:r w:rsidR="00B112E0" w:rsidRPr="008A138C">
        <w:rPr>
          <w:rFonts w:ascii="Times New Roman" w:hAnsi="Times New Roman" w:cs="Times New Roman"/>
          <w:sz w:val="24"/>
          <w:szCs w:val="24"/>
          <w:lang w:val="es-ES_tradnl"/>
        </w:rPr>
        <w:t xml:space="preserve"> de julio de dos mil veintitrés</w:t>
      </w:r>
      <w:r w:rsidRPr="008A138C">
        <w:rPr>
          <w:rFonts w:ascii="Times New Roman" w:hAnsi="Times New Roman" w:cs="Times New Roman"/>
          <w:sz w:val="24"/>
          <w:szCs w:val="24"/>
          <w:lang w:val="es-ES"/>
        </w:rPr>
        <w:t>.</w:t>
      </w:r>
    </w:p>
  </w:footnote>
  <w:footnote w:id="20">
    <w:p w14:paraId="1E57ED23" w14:textId="3A975EB8" w:rsidR="00B314EB" w:rsidRPr="008A138C" w:rsidRDefault="006D5B68" w:rsidP="00236DC8">
      <w:pPr>
        <w:pStyle w:val="Textonotapie"/>
        <w:spacing w:after="120"/>
        <w:ind w:left="284" w:hanging="284"/>
        <w:rPr>
          <w:rFonts w:ascii="Times New Roman" w:hAnsi="Times New Roman" w:cs="Times New Roman"/>
          <w:sz w:val="24"/>
          <w:szCs w:val="24"/>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B314EB" w:rsidRPr="008A138C">
        <w:rPr>
          <w:rFonts w:ascii="Times New Roman" w:hAnsi="Times New Roman" w:cs="Times New Roman"/>
          <w:b/>
          <w:bCs/>
          <w:sz w:val="24"/>
          <w:szCs w:val="24"/>
        </w:rPr>
        <w:t>Artículo 5</w:t>
      </w:r>
      <w:r w:rsidR="00AF37C6" w:rsidRPr="008A138C">
        <w:rPr>
          <w:rFonts w:ascii="Times New Roman" w:hAnsi="Times New Roman" w:cs="Times New Roman"/>
          <w:b/>
          <w:bCs/>
          <w:sz w:val="24"/>
          <w:szCs w:val="24"/>
        </w:rPr>
        <w:t>4</w:t>
      </w:r>
      <w:r w:rsidR="00B314EB" w:rsidRPr="008A138C">
        <w:rPr>
          <w:rFonts w:ascii="Times New Roman" w:hAnsi="Times New Roman" w:cs="Times New Roman"/>
          <w:b/>
          <w:bCs/>
          <w:sz w:val="24"/>
          <w:szCs w:val="24"/>
        </w:rPr>
        <w:t>.</w:t>
      </w:r>
      <w:r w:rsidR="00F80A7E" w:rsidRPr="008A138C">
        <w:rPr>
          <w:rFonts w:ascii="Times New Roman" w:hAnsi="Times New Roman" w:cs="Times New Roman"/>
          <w:b/>
          <w:bCs/>
          <w:sz w:val="24"/>
          <w:szCs w:val="24"/>
        </w:rPr>
        <w:t xml:space="preserve"> </w:t>
      </w:r>
      <w:r w:rsidR="00B314EB" w:rsidRPr="008A138C">
        <w:rPr>
          <w:rFonts w:ascii="Times New Roman" w:hAnsi="Times New Roman" w:cs="Times New Roman"/>
          <w:sz w:val="24"/>
          <w:szCs w:val="24"/>
        </w:rPr>
        <w:t>Son facultades y deberes del Comité Ejecutivo Nacional:</w:t>
      </w:r>
    </w:p>
    <w:p w14:paraId="49A74B86" w14:textId="2F05CF4B" w:rsidR="006D5B68" w:rsidRPr="008A138C" w:rsidRDefault="00B314EB" w:rsidP="00236DC8">
      <w:pPr>
        <w:pStyle w:val="Textonotapie"/>
        <w:spacing w:after="120"/>
        <w:ind w:left="568" w:hanging="284"/>
        <w:rPr>
          <w:rFonts w:ascii="Times New Roman" w:hAnsi="Times New Roman" w:cs="Times New Roman"/>
          <w:sz w:val="24"/>
          <w:szCs w:val="24"/>
        </w:rPr>
      </w:pPr>
      <w:r w:rsidRPr="008A138C">
        <w:rPr>
          <w:rFonts w:ascii="Times New Roman" w:hAnsi="Times New Roman" w:cs="Times New Roman"/>
          <w:b/>
          <w:bCs/>
          <w:sz w:val="24"/>
          <w:szCs w:val="24"/>
        </w:rPr>
        <w:t>a)</w:t>
      </w:r>
      <w:r w:rsidRPr="008A138C">
        <w:rPr>
          <w:rFonts w:ascii="Times New Roman" w:hAnsi="Times New Roman" w:cs="Times New Roman"/>
          <w:sz w:val="24"/>
          <w:szCs w:val="24"/>
        </w:rPr>
        <w:t xml:space="preserve"> Ejercer por medio de su </w:t>
      </w:r>
      <w:r w:rsidR="00AF37C6" w:rsidRPr="008A138C">
        <w:rPr>
          <w:rFonts w:ascii="Times New Roman" w:hAnsi="Times New Roman" w:cs="Times New Roman"/>
          <w:sz w:val="24"/>
          <w:szCs w:val="24"/>
        </w:rPr>
        <w:t>Presidencia</w:t>
      </w:r>
      <w:r w:rsidRPr="008A138C">
        <w:rPr>
          <w:rFonts w:ascii="Times New Roman" w:hAnsi="Times New Roman" w:cs="Times New Roman"/>
          <w:sz w:val="24"/>
          <w:szCs w:val="24"/>
        </w:rPr>
        <w:t xml:space="preserve"> o de la persona o personas que estime conveniente designar al efecto, la representación legal de Acción Nacional, en los términos de las disposiciones que regulan el mandato tanto en el Código Civil para el Distrito Federal en materia común y para toda la República en materia Federal, en la Ley General de Títulos y Operaciones de Crédito y Ley Federal del Trabajo. En consecuencia, </w:t>
      </w:r>
      <w:r w:rsidR="00AF37C6" w:rsidRPr="008A138C">
        <w:rPr>
          <w:rFonts w:ascii="Times New Roman" w:hAnsi="Times New Roman" w:cs="Times New Roman"/>
          <w:sz w:val="24"/>
          <w:szCs w:val="24"/>
        </w:rPr>
        <w:t>la persona titular de la Presidencia</w:t>
      </w:r>
      <w:r w:rsidRPr="008A138C">
        <w:rPr>
          <w:rFonts w:ascii="Times New Roman" w:hAnsi="Times New Roman" w:cs="Times New Roman"/>
          <w:sz w:val="24"/>
          <w:szCs w:val="24"/>
        </w:rPr>
        <w:t xml:space="preserve"> gozará de todas las facultades generales y aun las que requieran cláusula especial conforme a la Ley, para pleitos y cobranzas, actos de administración, actos de dominio y para suscribir títulos de crédito. Las disposiciones de tales ordenamientos legales se tienen aquí por reproducidas como si se insertaran a la letra, así como los relativos de la legislación electoral vigente; […].</w:t>
      </w:r>
    </w:p>
  </w:footnote>
  <w:footnote w:id="21">
    <w:p w14:paraId="5C986477" w14:textId="2D93E6B1" w:rsidR="004F4467" w:rsidRPr="008A138C" w:rsidRDefault="006D5B68" w:rsidP="002B61AD">
      <w:pPr>
        <w:pStyle w:val="Textonotapie"/>
        <w:spacing w:after="120"/>
        <w:ind w:left="284" w:hanging="284"/>
        <w:rPr>
          <w:rFonts w:ascii="Times New Roman" w:hAnsi="Times New Roman" w:cs="Times New Roman"/>
          <w:b/>
          <w:bCs/>
          <w:sz w:val="24"/>
          <w:szCs w:val="24"/>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4F4467" w:rsidRPr="008A138C">
        <w:rPr>
          <w:rFonts w:ascii="Times New Roman" w:hAnsi="Times New Roman" w:cs="Times New Roman"/>
          <w:b/>
          <w:bCs/>
          <w:sz w:val="24"/>
          <w:szCs w:val="24"/>
        </w:rPr>
        <w:t>Artículo 5</w:t>
      </w:r>
      <w:r w:rsidR="00616FCB" w:rsidRPr="008A138C">
        <w:rPr>
          <w:rFonts w:ascii="Times New Roman" w:hAnsi="Times New Roman" w:cs="Times New Roman"/>
          <w:b/>
          <w:bCs/>
          <w:sz w:val="24"/>
          <w:szCs w:val="24"/>
        </w:rPr>
        <w:t>8</w:t>
      </w:r>
      <w:r w:rsidR="004F4467" w:rsidRPr="008A138C">
        <w:rPr>
          <w:rFonts w:ascii="Times New Roman" w:hAnsi="Times New Roman" w:cs="Times New Roman"/>
          <w:b/>
          <w:bCs/>
          <w:sz w:val="24"/>
          <w:szCs w:val="24"/>
        </w:rPr>
        <w:t xml:space="preserve">. </w:t>
      </w:r>
      <w:r w:rsidR="004F4467" w:rsidRPr="008A138C">
        <w:rPr>
          <w:rFonts w:ascii="Times New Roman" w:hAnsi="Times New Roman" w:cs="Times New Roman"/>
          <w:sz w:val="24"/>
          <w:szCs w:val="24"/>
        </w:rPr>
        <w:t>La o el Presidente del Comité Ejecutivo Nacional, lo será también de la Asamblea Nacional, del Consejo Nacional y la Comisión Permanente Nacional, con las siguientes atribuciones y deberes:</w:t>
      </w:r>
    </w:p>
    <w:p w14:paraId="2DED1DE9" w14:textId="54484529" w:rsidR="006D5B68" w:rsidRPr="008A138C" w:rsidRDefault="004F4467" w:rsidP="002B61AD">
      <w:pPr>
        <w:pStyle w:val="Textonotapie"/>
        <w:spacing w:after="120"/>
        <w:ind w:left="568" w:hanging="284"/>
        <w:rPr>
          <w:rFonts w:ascii="Times New Roman" w:hAnsi="Times New Roman" w:cs="Times New Roman"/>
          <w:sz w:val="24"/>
          <w:szCs w:val="24"/>
        </w:rPr>
      </w:pPr>
      <w:r w:rsidRPr="008A138C">
        <w:rPr>
          <w:rFonts w:ascii="Times New Roman" w:hAnsi="Times New Roman" w:cs="Times New Roman"/>
          <w:b/>
          <w:bCs/>
          <w:sz w:val="24"/>
          <w:szCs w:val="24"/>
        </w:rPr>
        <w:t>a)</w:t>
      </w:r>
      <w:r w:rsidRPr="008A138C">
        <w:rPr>
          <w:rFonts w:ascii="Times New Roman" w:hAnsi="Times New Roman" w:cs="Times New Roman"/>
          <w:sz w:val="24"/>
          <w:szCs w:val="24"/>
        </w:rPr>
        <w:t xml:space="preserve"> Representar a Acción Nacional en los términos y con las facultades a que se refiere el inciso a) del artículo 53 de estos Estatutos. Cuando el</w:t>
      </w:r>
      <w:r w:rsidR="003831F7" w:rsidRPr="008A138C">
        <w:rPr>
          <w:rFonts w:ascii="Times New Roman" w:hAnsi="Times New Roman" w:cs="Times New Roman"/>
          <w:sz w:val="24"/>
          <w:szCs w:val="24"/>
        </w:rPr>
        <w:t xml:space="preserve"> o la</w:t>
      </w:r>
      <w:r w:rsidRPr="008A138C">
        <w:rPr>
          <w:rFonts w:ascii="Times New Roman" w:hAnsi="Times New Roman" w:cs="Times New Roman"/>
          <w:sz w:val="24"/>
          <w:szCs w:val="24"/>
        </w:rPr>
        <w:t xml:space="preserve"> President</w:t>
      </w:r>
      <w:r w:rsidR="003831F7" w:rsidRPr="008A138C">
        <w:rPr>
          <w:rFonts w:ascii="Times New Roman" w:hAnsi="Times New Roman" w:cs="Times New Roman"/>
          <w:sz w:val="24"/>
          <w:szCs w:val="24"/>
        </w:rPr>
        <w:t>a</w:t>
      </w:r>
      <w:r w:rsidRPr="008A138C">
        <w:rPr>
          <w:rFonts w:ascii="Times New Roman" w:hAnsi="Times New Roman" w:cs="Times New Roman"/>
          <w:sz w:val="24"/>
          <w:szCs w:val="24"/>
        </w:rPr>
        <w:t xml:space="preserve"> Nacional no se encuentre en territorio nacional, ejercerá la representación del Partido </w:t>
      </w:r>
      <w:r w:rsidR="003831F7" w:rsidRPr="008A138C">
        <w:rPr>
          <w:rFonts w:ascii="Times New Roman" w:hAnsi="Times New Roman" w:cs="Times New Roman"/>
          <w:sz w:val="24"/>
          <w:szCs w:val="24"/>
        </w:rPr>
        <w:t xml:space="preserve">la o </w:t>
      </w:r>
      <w:r w:rsidRPr="008A138C">
        <w:rPr>
          <w:rFonts w:ascii="Times New Roman" w:hAnsi="Times New Roman" w:cs="Times New Roman"/>
          <w:sz w:val="24"/>
          <w:szCs w:val="24"/>
        </w:rPr>
        <w:t>el Secretario General; […]</w:t>
      </w:r>
    </w:p>
  </w:footnote>
  <w:footnote w:id="22">
    <w:p w14:paraId="38BA0C66"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En lo subsecuente se le denominará “Convenio 169”.</w:t>
      </w:r>
    </w:p>
  </w:footnote>
  <w:footnote w:id="23">
    <w:p w14:paraId="547A66EA" w14:textId="46787D79" w:rsidR="006A6C3B" w:rsidRPr="008A138C" w:rsidRDefault="006A6C3B" w:rsidP="006F2A17">
      <w:pPr>
        <w:spacing w:after="120"/>
        <w:ind w:left="284" w:hanging="284"/>
        <w:jc w:val="both"/>
        <w:rPr>
          <w:lang w:val="es-ES_tradnl"/>
        </w:rPr>
      </w:pPr>
      <w:r w:rsidRPr="008A138C">
        <w:rPr>
          <w:rStyle w:val="Refdenotaalpie"/>
          <w:lang w:val="es-ES_tradnl"/>
        </w:rPr>
        <w:footnoteRef/>
      </w:r>
      <w:r w:rsidRPr="008A138C">
        <w:rPr>
          <w:lang w:val="es-ES_tradnl"/>
        </w:rPr>
        <w:t xml:space="preserve"> Resuelta el </w:t>
      </w:r>
      <w:r w:rsidRPr="008A138C">
        <w:rPr>
          <w:bCs/>
          <w:lang w:val="es-ES_tradnl"/>
        </w:rPr>
        <w:t>veintinueve de mayo de dos mil catorce.</w:t>
      </w:r>
      <w:r w:rsidRPr="008A138C">
        <w:rPr>
          <w:lang w:val="es-ES_tradnl"/>
        </w:rPr>
        <w:t xml:space="preserve"> Se aprobó por mayoría de diez votos de los señores Ministros</w:t>
      </w:r>
      <w:r w:rsidR="008B6EFA" w:rsidRPr="008A138C">
        <w:rPr>
          <w:lang w:val="es-ES_tradnl"/>
        </w:rPr>
        <w:t xml:space="preserve"> y las señoras Ministras</w:t>
      </w:r>
      <w:r w:rsidRPr="008A138C">
        <w:rPr>
          <w:lang w:val="es-ES_tradnl"/>
        </w:rPr>
        <w:t xml:space="preserve"> Gutiérrez Ortiz Mena con salvedades en cuanto a la finalidad de la consulta, Cossío Díaz en contra de las consideraciones, Luna Ramos, Zaldívar Lelo de Larrea con salvedades en cuanto a la finalidad de la consulta, Pardo Rebolledo con salvedades en cuanto a la finalidad de la consulta, Aguilar Morales, Valls Hernández, Sánchez Cordero de García Villegas con salvedades en cuanto a la finalidad de la consulta, Pérez Dayán con salvedades en cuanto a la aplicación de la jurisprudencia ante la existencia de un municipio indígena, y Presidente Silva Meza con salvedades en cuanto a la finalidad de la consulta, respecto del considerando séptimo, relativo al estudio de fondo. El señor Ministro Franco González Salas votó en contra. Los señores Ministros Gutiérrez Ortiz Mena, Cossío Díaz, Zaldívar Lelo de Larrea, Aguilar Morales, Valls Hernández y Sánchez Cordero de García Villegas reservaron su derecho de formular sendos votos concurrentes.</w:t>
      </w:r>
    </w:p>
  </w:footnote>
  <w:footnote w:id="24">
    <w:p w14:paraId="76CB123F"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En dicho precedente, el municipio indígena de Cherán demandó la invalidez de una reforma a la Constitución de Michoacán realizada el dieciséis de marzo de dos mil doce. El Tribunal Pleno estableció que el municipio actor contaba con el derecho a la consulta previa, libre e informada por parte del poder legislativo local y procedió a analizar si tal derecho fue respetado en el proceso legislativo que precedió a la reforma de la Constitución local impugnada.</w:t>
      </w:r>
    </w:p>
    <w:p w14:paraId="6787E2A9"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Fonts w:ascii="Times New Roman" w:hAnsi="Times New Roman" w:cs="Times New Roman"/>
          <w:sz w:val="24"/>
          <w:szCs w:val="24"/>
          <w:lang w:val="es-ES_tradnl"/>
        </w:rPr>
        <w:t>Al respecto, se determinó que no constaba en juicio que el municipio de Cherán hubiera sido consultado —de manera previa, libre e informada mediante un procedimiento adecuado y de buena fe, a través de las instituciones que lo representaban— por lo que el proceder del poder legislativo demandado había violado la esfera de competencia y derechos del municipio. En consecuencia, se declaró la invalidez de las normas impugnadas.</w:t>
      </w:r>
    </w:p>
  </w:footnote>
  <w:footnote w:id="25">
    <w:p w14:paraId="630F5D43" w14:textId="06D3CB3D" w:rsidR="006A6C3B" w:rsidRPr="008A138C" w:rsidRDefault="006A6C3B" w:rsidP="006F2A17">
      <w:pPr>
        <w:spacing w:after="120"/>
        <w:ind w:left="284" w:hanging="284"/>
        <w:jc w:val="both"/>
        <w:rPr>
          <w:lang w:val="es-ES_tradnl"/>
        </w:rPr>
      </w:pPr>
      <w:r w:rsidRPr="008A138C">
        <w:rPr>
          <w:rStyle w:val="Refdenotaalpie"/>
          <w:lang w:val="es-ES_tradnl"/>
        </w:rPr>
        <w:footnoteRef/>
      </w:r>
      <w:r w:rsidRPr="008A138C">
        <w:rPr>
          <w:lang w:val="es-ES_tradnl"/>
        </w:rPr>
        <w:t xml:space="preserve"> Resueltas en sesión de diecinueve de octubre de dos mil quince, por unanimidad de diez votos de los Ministros y</w:t>
      </w:r>
      <w:r w:rsidR="008B6EFA" w:rsidRPr="008A138C">
        <w:rPr>
          <w:lang w:val="es-ES_tradnl"/>
        </w:rPr>
        <w:t xml:space="preserve"> las</w:t>
      </w:r>
      <w:r w:rsidRPr="008A138C">
        <w:rPr>
          <w:lang w:val="es-ES_tradnl"/>
        </w:rPr>
        <w:t xml:space="preserve"> Ministras Gutiérrez Ortiz Mena, Luna Ramos, Franco González Salas, Zaldívar Lelo de Larrea, Pardo Rebolledo, Silva Meza, Medina Mora I., Sánchez Cordero de García Villegas, Pérez Dayán y Presidente Aguilar Morales, respecto del estudio de fondo del proyecto. </w:t>
      </w:r>
    </w:p>
  </w:footnote>
  <w:footnote w:id="26">
    <w:p w14:paraId="5F79B472" w14:textId="705FA86F"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ocho de marzo de dos mil dieciséis, por mayoría de ocho votos de los Ministros y</w:t>
      </w:r>
      <w:r w:rsidR="008B6EFA" w:rsidRPr="008A138C">
        <w:rPr>
          <w:rFonts w:ascii="Times New Roman" w:hAnsi="Times New Roman" w:cs="Times New Roman"/>
          <w:sz w:val="24"/>
          <w:szCs w:val="24"/>
          <w:lang w:val="es-ES_tradnl"/>
        </w:rPr>
        <w:t xml:space="preserve"> las</w:t>
      </w:r>
      <w:r w:rsidRPr="008A138C">
        <w:rPr>
          <w:rFonts w:ascii="Times New Roman" w:hAnsi="Times New Roman" w:cs="Times New Roman"/>
          <w:sz w:val="24"/>
          <w:szCs w:val="24"/>
          <w:lang w:val="es-ES_tradnl"/>
        </w:rPr>
        <w:t xml:space="preserve"> Ministras Gutiérrez Ortiz Mena, Cossío Díaz, Franco González Salas, Zaldívar Lelo de Larrea, Pardo Rebolledo, Piña Hernández, Pérez Dayán y Presidente Aguilar Morales. Los Ministros Medina Mora I. y Laynez Potisek votaron en contra. </w:t>
      </w:r>
    </w:p>
  </w:footnote>
  <w:footnote w:id="27">
    <w:p w14:paraId="5B0C62D6"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el veintiocho de junio de dos mil dieciocho, en este punto por unanimidad de once votos, párr. 57 (“Se advierte entonces, que la Ley impugnada puede afectar a los pueblos indígenas del Estado de Sinaloa por crear y regular una institución estatal destinada a la atención gratuita de las necesidades de educación superior de los pueblos y comunidades indígenas dentro del territorio estatal y por ende, el Congreso local, tenía la obligación de consultarles directamente a los mismos, previo a la emisión de la norma impugnada.”).</w:t>
      </w:r>
    </w:p>
  </w:footnote>
  <w:footnote w:id="28">
    <w:p w14:paraId="05389B64" w14:textId="28B039B9"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veintiocho de junio de dos mil dieciocho, por unanimidad de once votos de los Ministros y</w:t>
      </w:r>
      <w:r w:rsidR="008B6EFA" w:rsidRPr="008A138C">
        <w:rPr>
          <w:rFonts w:ascii="Times New Roman" w:hAnsi="Times New Roman" w:cs="Times New Roman"/>
          <w:sz w:val="24"/>
          <w:szCs w:val="24"/>
          <w:lang w:val="es-ES_tradnl"/>
        </w:rPr>
        <w:t xml:space="preserve"> las</w:t>
      </w:r>
      <w:r w:rsidRPr="008A138C">
        <w:rPr>
          <w:rFonts w:ascii="Times New Roman" w:hAnsi="Times New Roman" w:cs="Times New Roman"/>
          <w:sz w:val="24"/>
          <w:szCs w:val="24"/>
          <w:lang w:val="es-ES_tradnl"/>
        </w:rPr>
        <w:t xml:space="preserve"> Ministras Gutiérrez Ortiz Mena, Cossío Díaz, Luna Ramos, Franco González Salas, Zaldívar Lelo de Larrea por razones adicionales, Pardo Rebolledo separándose de algunas consideraciones, Piña Hernández, Medina Mora I. en contra de algunas consideraciones, Laynez Potisek, Pérez Dayán y Presidente Aguilar Morales.</w:t>
      </w:r>
    </w:p>
  </w:footnote>
  <w:footnote w:id="29">
    <w:p w14:paraId="67ADF12A" w14:textId="568D2847" w:rsidR="006A6C3B" w:rsidRPr="008A138C" w:rsidRDefault="006A6C3B" w:rsidP="006F2A17">
      <w:pPr>
        <w:pStyle w:val="Textonotapie"/>
        <w:tabs>
          <w:tab w:val="left" w:pos="284"/>
        </w:tabs>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Resueltas en sesión de cinco de diciembre de dos mil diecinueve, por mayoría de nueve votos de los Ministros y</w:t>
      </w:r>
      <w:r w:rsidR="008B6EFA" w:rsidRPr="008A138C">
        <w:rPr>
          <w:rFonts w:ascii="Times New Roman" w:hAnsi="Times New Roman" w:cs="Times New Roman"/>
          <w:sz w:val="24"/>
          <w:szCs w:val="24"/>
          <w:lang w:val="es-ES_tradnl"/>
        </w:rPr>
        <w:t xml:space="preserve"> las</w:t>
      </w:r>
      <w:r w:rsidRPr="008A138C">
        <w:rPr>
          <w:rFonts w:ascii="Times New Roman" w:hAnsi="Times New Roman" w:cs="Times New Roman"/>
          <w:sz w:val="24"/>
          <w:szCs w:val="24"/>
          <w:lang w:val="es-ES_tradnl"/>
        </w:rPr>
        <w:t xml:space="preserve"> Ministras Gutiérrez Ortiz Mena, González Alcántara Carrancá, Esquivel Mossa, Franco González Salas separándose de algunas consideraciones, Aguilar Morales separándose de algunas consideraciones, Pardo Rebolledo, Piña Hernández, Pérez Dayán separándose de las consideraciones que reconocen la categoría del municipio indígena y Presidente Zaldívar Lelo de Larrea, El Ministro Laynez Potisek votó en contra.</w:t>
      </w:r>
    </w:p>
  </w:footnote>
  <w:footnote w:id="30">
    <w:p w14:paraId="1709CE0C" w14:textId="77777777" w:rsidR="006A6C3B" w:rsidRPr="008A138C" w:rsidRDefault="006A6C3B" w:rsidP="006F2A17">
      <w:pPr>
        <w:pStyle w:val="Textonotapie"/>
        <w:spacing w:after="120"/>
        <w:ind w:left="284" w:hanging="284"/>
        <w:rPr>
          <w:rFonts w:ascii="Times New Roman" w:hAnsi="Times New Roman" w:cs="Times New Roman"/>
          <w:sz w:val="24"/>
          <w:szCs w:val="24"/>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Resuelta en sesión de veinte de abril de dos mil veinte, por unanimidad de once votos de los Ministros y Ministras Gutiérrez Ortiz Mena, González Alcántara Carrancá, Esquivel Mossa, Franco González Salas con reserva de criterio, Aguilar Morales por algunas razones diversas, Pardo Rebolledo separándose de algunas consideraciones, Piña Hernández apartándose de los párrafos del setenta y uno al setenta y siete, Ríos Farjat, Laynez Potisek, Pérez Dayán en contra de las consideraciones y Presidente Zaldívar Lelo de Larrea por razones adicionales, respecto del apartado VII, relativo al estudio de fondo, consistente en declarar la invalidez del Decreto Número 778, por el que se reforman, adicionan y derogan diversas disposiciones de la Ley Número 701 de Reconocimiento, Derechos y Cultura de los Pueblos y Comunidades Indígenas del Estado de Guerrero, publicado en el Periódico Oficial de dicha entidad federativa el veinticuatro de agosto de dos mil dieciocho.</w:t>
      </w:r>
    </w:p>
    <w:p w14:paraId="6E326A83" w14:textId="77777777" w:rsidR="006A6C3B" w:rsidRPr="008A138C" w:rsidRDefault="006A6C3B" w:rsidP="006F2A17">
      <w:pPr>
        <w:pStyle w:val="Textonotapie"/>
        <w:spacing w:after="120"/>
        <w:ind w:left="284" w:hanging="284"/>
        <w:rPr>
          <w:rFonts w:ascii="Times New Roman" w:hAnsi="Times New Roman" w:cs="Times New Roman"/>
          <w:sz w:val="24"/>
          <w:szCs w:val="24"/>
        </w:rPr>
      </w:pPr>
      <w:r w:rsidRPr="008A138C">
        <w:rPr>
          <w:rFonts w:ascii="Times New Roman" w:hAnsi="Times New Roman" w:cs="Times New Roman"/>
          <w:sz w:val="24"/>
          <w:szCs w:val="24"/>
        </w:rPr>
        <w:t>Por mayoría de nueve votos de los Ministros y Ministras Gutiérrez Ortiz Mena, González Alcántara Carrancá, Esquivel Mossa, Franco González Salas con reserva de criterio, Pardo Rebolledo separándose de algunas consideraciones, Piña Hernández apartándose de los párrafos del setenta y uno al setenta y siete, Ríos Farjat, Laynez Potisek y Presidente Zaldívar Lelo de Larrea por razones adicionales, respecto del apartado VII, relativo al estudio de fondo, consistente en declarar la invalidez de la Ley Número 777 del Sistema de Seguridad Pública del Estado de Guerrero, expedida en el Periódico Oficial de dicha entidad federativa el veinticuatro de agosto de dos mil dieciocho. Los Ministros Aguilar Morales y Pérez Dayán votaron en contra.</w:t>
      </w:r>
    </w:p>
  </w:footnote>
  <w:footnote w:id="31">
    <w:p w14:paraId="1F2D20B9"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eastAsia="es-MX"/>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Criterio sostenido en las acciones de inconstitucionalidad 151/2017, 116/2019 y su acumulada 117/2019 y 81/2018. </w:t>
      </w:r>
    </w:p>
  </w:footnote>
  <w:footnote w:id="32">
    <w:p w14:paraId="214D19DF"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En términos similares, el derecho a la consulta previa de las comunidades indígenas también está reconocido en el artículo 19 de la </w:t>
      </w:r>
      <w:r w:rsidRPr="008A138C">
        <w:rPr>
          <w:rFonts w:ascii="Times New Roman" w:hAnsi="Times New Roman" w:cs="Times New Roman"/>
          <w:b/>
          <w:sz w:val="24"/>
          <w:szCs w:val="24"/>
          <w:lang w:val="es-ES_tradnl"/>
        </w:rPr>
        <w:t>Declaración de las Naciones Unidas sobre los Pueblos Indígenas</w:t>
      </w:r>
      <w:r w:rsidRPr="008A138C">
        <w:rPr>
          <w:rFonts w:ascii="Times New Roman" w:hAnsi="Times New Roman" w:cs="Times New Roman"/>
          <w:sz w:val="24"/>
          <w:szCs w:val="24"/>
          <w:lang w:val="es-ES_tradnl"/>
        </w:rPr>
        <w:t>, aprobada por la Asamblea General de la Organización de las Naciones Unidas el trece de septiembre de dos mil siete; México votó a favor de esta declaración.</w:t>
      </w:r>
    </w:p>
    <w:p w14:paraId="25E6507D"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Fonts w:ascii="Times New Roman" w:hAnsi="Times New Roman" w:cs="Times New Roman"/>
          <w:sz w:val="24"/>
          <w:szCs w:val="24"/>
          <w:lang w:val="es-ES_tradnl"/>
        </w:rPr>
        <w:t xml:space="preserve">Por su parte, la </w:t>
      </w:r>
      <w:r w:rsidRPr="008A138C">
        <w:rPr>
          <w:rFonts w:ascii="Times New Roman" w:hAnsi="Times New Roman" w:cs="Times New Roman"/>
          <w:b/>
          <w:sz w:val="24"/>
          <w:szCs w:val="24"/>
          <w:lang w:val="es-ES_tradnl"/>
        </w:rPr>
        <w:t>Declaración Americana sobre los Derechos de los Pueblos Indígenas,</w:t>
      </w:r>
      <w:r w:rsidRPr="008A138C">
        <w:rPr>
          <w:rFonts w:ascii="Times New Roman" w:hAnsi="Times New Roman" w:cs="Times New Roman"/>
          <w:sz w:val="24"/>
          <w:szCs w:val="24"/>
          <w:lang w:val="es-ES_tradnl"/>
        </w:rPr>
        <w:t xml:space="preserve"> aprobada el catorce de junio de dos mil dieciséis por la Asamblea General de la Organización de Estados Americanos dispone:</w:t>
      </w:r>
    </w:p>
    <w:p w14:paraId="0FAA8209"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Fonts w:ascii="Times New Roman" w:hAnsi="Times New Roman" w:cs="Times New Roman"/>
          <w:b/>
          <w:bCs/>
          <w:sz w:val="24"/>
          <w:szCs w:val="24"/>
          <w:lang w:val="es-ES_tradnl"/>
        </w:rPr>
        <w:t>Artículo XXIII.</w:t>
      </w:r>
      <w:r w:rsidRPr="008A138C">
        <w:rPr>
          <w:rFonts w:ascii="Times New Roman" w:hAnsi="Times New Roman" w:cs="Times New Roman"/>
          <w:sz w:val="24"/>
          <w:szCs w:val="24"/>
          <w:lang w:val="es-ES_tradnl"/>
        </w:rPr>
        <w:t xml:space="preserve"> Participación de los pueblos indígenas y aportes de los sistemas legales y organizativos indígenas</w:t>
      </w:r>
    </w:p>
    <w:p w14:paraId="1B4B56B5" w14:textId="77777777" w:rsidR="006A6C3B" w:rsidRPr="008A138C" w:rsidRDefault="006A6C3B" w:rsidP="006F2A17">
      <w:pPr>
        <w:pStyle w:val="Textonotapie"/>
        <w:tabs>
          <w:tab w:val="left" w:pos="993"/>
        </w:tabs>
        <w:spacing w:after="120"/>
        <w:ind w:left="284" w:hanging="284"/>
        <w:rPr>
          <w:rFonts w:ascii="Times New Roman" w:hAnsi="Times New Roman" w:cs="Times New Roman"/>
          <w:sz w:val="24"/>
          <w:szCs w:val="24"/>
          <w:lang w:val="es-ES_tradnl"/>
        </w:rPr>
      </w:pPr>
      <w:r w:rsidRPr="008A138C">
        <w:rPr>
          <w:rFonts w:ascii="Times New Roman" w:hAnsi="Times New Roman" w:cs="Times New Roman"/>
          <w:sz w:val="24"/>
          <w:szCs w:val="24"/>
          <w:lang w:val="es-ES_tradnl"/>
        </w:rPr>
        <w:t>[…]</w:t>
      </w:r>
    </w:p>
    <w:p w14:paraId="344A2383" w14:textId="77777777" w:rsidR="006A6C3B" w:rsidRPr="008A138C" w:rsidRDefault="006A6C3B" w:rsidP="006F2A17">
      <w:pPr>
        <w:pStyle w:val="Textonotapie"/>
        <w:tabs>
          <w:tab w:val="left" w:pos="851"/>
        </w:tabs>
        <w:spacing w:after="120"/>
        <w:ind w:left="284" w:hanging="284"/>
        <w:rPr>
          <w:rFonts w:ascii="Times New Roman" w:hAnsi="Times New Roman" w:cs="Times New Roman"/>
          <w:sz w:val="24"/>
          <w:szCs w:val="24"/>
          <w:lang w:val="es-ES_tradnl"/>
        </w:rPr>
      </w:pPr>
      <w:r w:rsidRPr="008A138C">
        <w:rPr>
          <w:rFonts w:ascii="Times New Roman" w:hAnsi="Times New Roman" w:cs="Times New Roman"/>
          <w:b/>
          <w:bCs/>
          <w:sz w:val="24"/>
          <w:szCs w:val="24"/>
          <w:lang w:val="es-ES_tradnl"/>
        </w:rPr>
        <w:t>2.</w:t>
      </w:r>
      <w:r w:rsidRPr="008A138C">
        <w:rPr>
          <w:rFonts w:ascii="Times New Roman" w:hAnsi="Times New Roman" w:cs="Times New Roman"/>
          <w:sz w:val="24"/>
          <w:szCs w:val="24"/>
          <w:lang w:val="es-ES_tradnl"/>
        </w:rPr>
        <w:t xml:space="preserve">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14:paraId="1B41368D" w14:textId="77777777" w:rsidR="006A6C3B" w:rsidRPr="008A138C" w:rsidRDefault="006A6C3B" w:rsidP="006F2A17">
      <w:pPr>
        <w:pStyle w:val="Textonotapie"/>
        <w:tabs>
          <w:tab w:val="left" w:pos="851"/>
        </w:tabs>
        <w:spacing w:after="120"/>
        <w:ind w:left="284" w:hanging="284"/>
        <w:rPr>
          <w:rFonts w:ascii="Times New Roman" w:hAnsi="Times New Roman" w:cs="Times New Roman"/>
          <w:sz w:val="24"/>
          <w:szCs w:val="24"/>
          <w:lang w:val="es-ES_tradnl"/>
        </w:rPr>
      </w:pPr>
      <w:r w:rsidRPr="008A138C">
        <w:rPr>
          <w:rFonts w:ascii="Times New Roman" w:hAnsi="Times New Roman" w:cs="Times New Roman"/>
          <w:sz w:val="24"/>
          <w:szCs w:val="24"/>
          <w:lang w:val="es-ES_tradnl"/>
        </w:rPr>
        <w:t xml:space="preserve">También da sustento a esta consideración, lo determinado por la Corte Interamericana de Derechos Humanos en los casos del </w:t>
      </w:r>
      <w:r w:rsidRPr="008A138C">
        <w:rPr>
          <w:rFonts w:ascii="Times New Roman" w:hAnsi="Times New Roman" w:cs="Times New Roman"/>
          <w:i/>
          <w:sz w:val="24"/>
          <w:szCs w:val="24"/>
          <w:lang w:val="es-ES_tradnl"/>
        </w:rPr>
        <w:t>Pueblo Kichwa de Sarayaku vs. Ecuador</w:t>
      </w:r>
      <w:r w:rsidRPr="008A138C">
        <w:rPr>
          <w:rFonts w:ascii="Times New Roman" w:hAnsi="Times New Roman" w:cs="Times New Roman"/>
          <w:sz w:val="24"/>
          <w:szCs w:val="24"/>
          <w:lang w:val="es-ES_tradnl"/>
        </w:rPr>
        <w:t xml:space="preserve"> y de los </w:t>
      </w:r>
      <w:r w:rsidRPr="008A138C">
        <w:rPr>
          <w:rFonts w:ascii="Times New Roman" w:hAnsi="Times New Roman" w:cs="Times New Roman"/>
          <w:i/>
          <w:sz w:val="24"/>
          <w:szCs w:val="24"/>
          <w:lang w:val="es-ES_tradnl"/>
        </w:rPr>
        <w:t>Doce clanes Saramaka vs. Surinam</w:t>
      </w:r>
      <w:r w:rsidRPr="008A138C">
        <w:rPr>
          <w:rFonts w:ascii="Times New Roman" w:hAnsi="Times New Roman" w:cs="Times New Roman"/>
          <w:sz w:val="24"/>
          <w:szCs w:val="24"/>
          <w:lang w:val="es-ES_tradnl"/>
        </w:rPr>
        <w:t xml:space="preserve">; así como la resolución de la Primera Sala de este alto tribunal en el amparo en revisión 631/2012, promovido por la Tribu Yaqui, tal como fue aludido expresamente en la citada acción de inconstitucionalidad 83/2015 y sus acumuladas </w:t>
      </w:r>
      <w:r w:rsidRPr="008A138C">
        <w:rPr>
          <w:rFonts w:ascii="Times New Roman" w:hAnsi="Times New Roman" w:cs="Times New Roman"/>
          <w:caps/>
          <w:sz w:val="24"/>
          <w:szCs w:val="24"/>
          <w:lang w:val="es-ES_tradnl"/>
        </w:rPr>
        <w:t xml:space="preserve">86/2015, 91/2015 </w:t>
      </w:r>
      <w:r w:rsidRPr="008A138C">
        <w:rPr>
          <w:rFonts w:ascii="Times New Roman" w:hAnsi="Times New Roman" w:cs="Times New Roman"/>
          <w:sz w:val="24"/>
          <w:szCs w:val="24"/>
          <w:lang w:val="es-ES_tradnl"/>
        </w:rPr>
        <w:t>y</w:t>
      </w:r>
      <w:r w:rsidRPr="008A138C">
        <w:rPr>
          <w:rFonts w:ascii="Times New Roman" w:hAnsi="Times New Roman" w:cs="Times New Roman"/>
          <w:caps/>
          <w:sz w:val="24"/>
          <w:szCs w:val="24"/>
          <w:lang w:val="es-ES_tradnl"/>
        </w:rPr>
        <w:t xml:space="preserve"> 98/2015</w:t>
      </w:r>
      <w:r w:rsidRPr="008A138C">
        <w:rPr>
          <w:rFonts w:ascii="Times New Roman" w:hAnsi="Times New Roman" w:cs="Times New Roman"/>
          <w:sz w:val="24"/>
          <w:szCs w:val="24"/>
          <w:lang w:val="es-ES_tradnl"/>
        </w:rPr>
        <w:t>.</w:t>
      </w:r>
    </w:p>
  </w:footnote>
  <w:footnote w:id="33">
    <w:p w14:paraId="2FD69085"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del primero de marzo de dos mil veintiuno, por unanimidad de once votos de los Ministros y Ministras Gutiérrez Ortiz Mena, González Alcántara Carrancá, Esquivel Mossa, Franco González Salas, Aguilar Morales, Pardo Rebolledo, Piña Hernández, Ríos Farjat, Laynez Potisek, Pérez Dayán y Presidente Zaldívar Lelo de Larrea.</w:t>
      </w:r>
    </w:p>
  </w:footnote>
  <w:footnote w:id="34">
    <w:p w14:paraId="55731B3A"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diecisiete de mayo de dos mil veintiuno. Por unanimidad de once votos se declaró la invalidez de los Capítulos “Educación Indígena” y “Educación Inclusiva” de la Ley de Educación del Estado de Zacatecas. </w:t>
      </w:r>
    </w:p>
  </w:footnote>
  <w:footnote w:id="35">
    <w:p w14:paraId="3BE862E7"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veinticuatro de mayo de dos mil veintiuno. Por unanimidad de once votos se declaró la invalidez de los Capítulos “Educación Indígena” y “Educación Inclusiva” de la Ley de Educación de San Luis Potosí.</w:t>
      </w:r>
    </w:p>
  </w:footnote>
  <w:footnote w:id="36">
    <w:p w14:paraId="5D2701CC"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veinticuatro de mayo de dos mil veintiuno. Por unanimidad de once votos se declaró la invalidez de los Capítulos “Educación Indígena” y “Educación Inclusiva” de la Ley de Educación de Sonora.</w:t>
      </w:r>
    </w:p>
  </w:footnote>
  <w:footnote w:id="37">
    <w:p w14:paraId="3C7CCCB2"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veinticinco de mayo de dos mil veintiuno. Por unanimidad de once votos se declaró la invalidez de los Capítulos “Educación Indígena” y “Educación Inclusiva” de la Ley de Educación de Puebla.</w:t>
      </w:r>
    </w:p>
  </w:footnote>
  <w:footnote w:id="38">
    <w:p w14:paraId="1AC59D7C"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veintinueve de junio de dos mil veintiuno. Por unanimidad de once votos se declaró la invalidez de los Capítulos “Educación Indígena” y “Educación Inclusiva” de la Ley General de Educación.</w:t>
      </w:r>
    </w:p>
  </w:footnote>
  <w:footnote w:id="39">
    <w:p w14:paraId="2A376934"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diez de agosto de dos mil veintiuno. Por unanimidad de once votos se declaró la invalidez de los Capítulos “Educación Indígena” y “Educación Inclusiva” de la Ley de Educación de Guerrero.</w:t>
      </w:r>
    </w:p>
  </w:footnote>
  <w:footnote w:id="40">
    <w:p w14:paraId="2ACBAA7C"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doce de agosto de dos mil veintiuno. Por unanimidad de once votos se declaró la invalidez de los Capítulos “Educación Indígena” y “Educación Inclusiva” de la Ley de Educación de Baja California. </w:t>
      </w:r>
    </w:p>
  </w:footnote>
  <w:footnote w:id="41">
    <w:p w14:paraId="62583288" w14:textId="77777777" w:rsidR="006A6C3B" w:rsidRPr="008A138C" w:rsidRDefault="006A6C3B" w:rsidP="006F2A17">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Resuelta en sesión de siete de junio de dos mil veintidós. Por unanimidad de once votos se declaró la invalidez de los Capítulos “De la Educación Indígena” y “Educación Inclusiva” de la Ley de Educación de Morelos. </w:t>
      </w:r>
    </w:p>
  </w:footnote>
  <w:footnote w:id="42">
    <w:p w14:paraId="4660DE5A" w14:textId="77777777" w:rsidR="00E8546A" w:rsidRPr="008A138C" w:rsidRDefault="00E8546A" w:rsidP="002C4B2E">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Es el caso de la </w:t>
      </w:r>
      <w:r w:rsidRPr="008A138C">
        <w:rPr>
          <w:rFonts w:ascii="Times New Roman" w:hAnsi="Times New Roman" w:cs="Times New Roman"/>
          <w:b/>
          <w:bCs/>
          <w:sz w:val="24"/>
          <w:szCs w:val="24"/>
          <w:lang w:val="es-ES_tradnl"/>
        </w:rPr>
        <w:t>acción de inconstitucionalidad 164/2020</w:t>
      </w:r>
      <w:r w:rsidRPr="008A138C">
        <w:rPr>
          <w:rFonts w:ascii="Times New Roman" w:hAnsi="Times New Roman" w:cs="Times New Roman"/>
          <w:sz w:val="24"/>
          <w:szCs w:val="24"/>
          <w:lang w:val="es-ES_tradnl"/>
        </w:rPr>
        <w:t xml:space="preserve">, aprobada en la sesión pública de cinco de octubre de dos mil veinte y resuelta en este punto por unanimidad de once votos; la </w:t>
      </w:r>
      <w:r w:rsidRPr="008A138C">
        <w:rPr>
          <w:rFonts w:ascii="Times New Roman" w:hAnsi="Times New Roman" w:cs="Times New Roman"/>
          <w:b/>
          <w:bCs/>
          <w:sz w:val="24"/>
          <w:szCs w:val="24"/>
          <w:lang w:val="es-ES_tradnl"/>
        </w:rPr>
        <w:t>acción de inconstitucionalidad 50/2022 y sus acumuladas 52/2022, 55/2022 y 56/2022</w:t>
      </w:r>
      <w:r w:rsidRPr="008A138C">
        <w:rPr>
          <w:rFonts w:ascii="Times New Roman" w:hAnsi="Times New Roman" w:cs="Times New Roman"/>
          <w:sz w:val="24"/>
          <w:szCs w:val="24"/>
          <w:lang w:val="es-ES_tradnl"/>
        </w:rPr>
        <w:t xml:space="preserve">, aprobada en la sesión pública de diecisiete de enero de dos mil veintitrés y resuelta en este punto por unanimidad de diez votos, con el impedimento del Ministro Pardo Rebolledo; y la </w:t>
      </w:r>
      <w:r w:rsidRPr="008A138C">
        <w:rPr>
          <w:rFonts w:ascii="Times New Roman" w:hAnsi="Times New Roman" w:cs="Times New Roman"/>
          <w:b/>
          <w:bCs/>
          <w:sz w:val="24"/>
          <w:szCs w:val="24"/>
          <w:lang w:val="es-ES_tradnl"/>
        </w:rPr>
        <w:t>acción de inconstitucionalidad 142/2022 y sus acumuladas 145/2022, 146/2022, 148/2022, 150/2022 y 151/2022</w:t>
      </w:r>
      <w:r w:rsidRPr="008A138C">
        <w:rPr>
          <w:rFonts w:ascii="Times New Roman" w:hAnsi="Times New Roman" w:cs="Times New Roman"/>
          <w:sz w:val="24"/>
          <w:szCs w:val="24"/>
          <w:lang w:val="es-ES_tradnl"/>
        </w:rPr>
        <w:t>, aprobada en la sesión pública de cinco de enero de dos mil veintitrés y resuelta en este punto por unanimidad de diez votos, con la ausencia de la Ministra Ríos Farjat.</w:t>
      </w:r>
    </w:p>
  </w:footnote>
  <w:footnote w:id="43">
    <w:p w14:paraId="0D3EF100" w14:textId="77777777" w:rsidR="00E8546A" w:rsidRPr="008A138C" w:rsidRDefault="00E8546A" w:rsidP="002C4B2E">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En términos de la </w:t>
      </w:r>
      <w:r w:rsidRPr="008A138C">
        <w:rPr>
          <w:rFonts w:ascii="Times New Roman" w:hAnsi="Times New Roman" w:cs="Times New Roman"/>
          <w:b/>
          <w:bCs/>
          <w:sz w:val="24"/>
          <w:szCs w:val="24"/>
          <w:lang w:val="es-ES_tradnl"/>
        </w:rPr>
        <w:t>acción de inconstitucionalidad 241/2020 y sus acumuladas 242/2020, 243/2020, 248/2020 y 251/2020</w:t>
      </w:r>
      <w:r w:rsidRPr="008A138C">
        <w:rPr>
          <w:rFonts w:ascii="Times New Roman" w:hAnsi="Times New Roman" w:cs="Times New Roman"/>
          <w:sz w:val="24"/>
          <w:szCs w:val="24"/>
          <w:lang w:val="es-ES_tradnl"/>
        </w:rPr>
        <w:t>, aprobada en la sesión pública de tres de diciembre de dos mil veinte y resuelto en este punto por una mayoría de ocho votos, con la ausencia del Ministro Zaldívar Lelo de Larrea.</w:t>
      </w:r>
    </w:p>
  </w:footnote>
  <w:footnote w:id="44">
    <w:p w14:paraId="42B0395C" w14:textId="77777777" w:rsidR="00E8546A" w:rsidRPr="008A138C" w:rsidRDefault="00E8546A" w:rsidP="002C4B2E">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En la </w:t>
      </w:r>
      <w:r w:rsidRPr="008A138C">
        <w:rPr>
          <w:rFonts w:ascii="Times New Roman" w:hAnsi="Times New Roman" w:cs="Times New Roman"/>
          <w:b/>
          <w:bCs/>
          <w:sz w:val="24"/>
          <w:szCs w:val="24"/>
          <w:lang w:val="es-ES_tradnl"/>
        </w:rPr>
        <w:t>acción de inconstitucionalidad 67/2018 y su acumulada 69/2018</w:t>
      </w:r>
      <w:r w:rsidRPr="008A138C">
        <w:rPr>
          <w:rFonts w:ascii="Times New Roman" w:hAnsi="Times New Roman" w:cs="Times New Roman"/>
          <w:sz w:val="24"/>
          <w:szCs w:val="24"/>
          <w:lang w:val="es-ES_tradnl"/>
        </w:rPr>
        <w:t>, aprobada en la sesión pública del treinta de julio de dos mil veinte y resuelta por unanimidad de once votos.</w:t>
      </w:r>
    </w:p>
  </w:footnote>
  <w:footnote w:id="45">
    <w:p w14:paraId="7D954646" w14:textId="77777777" w:rsidR="00E8546A" w:rsidRPr="008A138C" w:rsidRDefault="00E8546A" w:rsidP="002C4B2E">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 xml:space="preserve">En la </w:t>
      </w:r>
      <w:r w:rsidRPr="008A138C">
        <w:rPr>
          <w:rFonts w:ascii="Times New Roman" w:hAnsi="Times New Roman" w:cs="Times New Roman"/>
          <w:b/>
          <w:bCs/>
          <w:sz w:val="24"/>
          <w:szCs w:val="24"/>
          <w:lang w:val="es-ES"/>
        </w:rPr>
        <w:t xml:space="preserve">acción de inconstitucionalidad 90/2022 y sus acumuladas 91/2022, 92/2022, 93/2022 y 94/2022, </w:t>
      </w:r>
      <w:r w:rsidRPr="008A138C">
        <w:rPr>
          <w:rFonts w:ascii="Times New Roman" w:hAnsi="Times New Roman" w:cs="Times New Roman"/>
          <w:sz w:val="24"/>
          <w:szCs w:val="24"/>
          <w:lang w:val="es-ES"/>
        </w:rPr>
        <w:t>resuelta en la sesión del primero de enero de dos mil veintitrés, aprobada por unanimidad de once votos respecto al planteamiento sobre la declaratoria de invalidez del Decreto en lo general, a reserva del estudio de disposiciones en específico.</w:t>
      </w:r>
    </w:p>
  </w:footnote>
  <w:footnote w:id="46">
    <w:p w14:paraId="62B5F30C" w14:textId="77777777" w:rsidR="00E8546A" w:rsidRPr="008A138C" w:rsidRDefault="00E8546A" w:rsidP="002C4B2E">
      <w:pPr>
        <w:pStyle w:val="Textonotapie"/>
        <w:spacing w:after="120"/>
        <w:ind w:left="284" w:hanging="284"/>
        <w:rPr>
          <w:rFonts w:ascii="Times New Roman" w:hAnsi="Times New Roman" w:cs="Times New Roman"/>
          <w:sz w:val="24"/>
          <w:szCs w:val="24"/>
          <w:lang w:val="es-ES_tradnl"/>
        </w:rPr>
      </w:pPr>
      <w:r w:rsidRPr="008A138C">
        <w:rPr>
          <w:rStyle w:val="Refdenotaalpie"/>
          <w:rFonts w:ascii="Times New Roman" w:hAnsi="Times New Roman" w:cs="Times New Roman"/>
          <w:sz w:val="24"/>
          <w:szCs w:val="24"/>
          <w:lang w:val="es-ES_tradnl"/>
        </w:rPr>
        <w:footnoteRef/>
      </w:r>
      <w:r w:rsidRPr="008A138C">
        <w:rPr>
          <w:rFonts w:ascii="Times New Roman" w:hAnsi="Times New Roman" w:cs="Times New Roman"/>
          <w:sz w:val="24"/>
          <w:szCs w:val="24"/>
          <w:lang w:val="es-ES_tradnl"/>
        </w:rPr>
        <w:t xml:space="preserve"> En términos de la </w:t>
      </w:r>
      <w:r w:rsidRPr="008A138C">
        <w:rPr>
          <w:rFonts w:ascii="Times New Roman" w:hAnsi="Times New Roman" w:cs="Times New Roman"/>
          <w:b/>
          <w:bCs/>
          <w:sz w:val="24"/>
          <w:szCs w:val="24"/>
          <w:lang w:val="es-ES_tradnl"/>
        </w:rPr>
        <w:t>acción de inconstitucionalidad 3/2022 y sus acumuladas 8/2022, 10/2022, 16/2022 y 17/2022</w:t>
      </w:r>
      <w:r w:rsidRPr="008A138C">
        <w:rPr>
          <w:rFonts w:ascii="Times New Roman" w:hAnsi="Times New Roman" w:cs="Times New Roman"/>
          <w:sz w:val="24"/>
          <w:szCs w:val="24"/>
          <w:lang w:val="es-ES_tradnl"/>
        </w:rPr>
        <w:t>, aprobada en la sesión pública del primero de septiembre de dos mil veintidós y resuelto por unanimidad de once votos.</w:t>
      </w:r>
    </w:p>
  </w:footnote>
  <w:footnote w:id="47">
    <w:p w14:paraId="5B9F8568" w14:textId="0BA2D846" w:rsidR="00CF4560" w:rsidRPr="008A138C" w:rsidRDefault="00CF4560" w:rsidP="003347F7">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D54D3D" w:rsidRPr="008A138C">
        <w:rPr>
          <w:rFonts w:ascii="Times New Roman" w:hAnsi="Times New Roman" w:cs="Times New Roman"/>
          <w:sz w:val="24"/>
          <w:szCs w:val="24"/>
        </w:rPr>
        <w:t xml:space="preserve">Resuelta en la sesión pública de dieciséis de octubre de dos mil veintitrés, aprobada en este punto por </w:t>
      </w:r>
      <w:r w:rsidR="00A1704C" w:rsidRPr="008A138C">
        <w:rPr>
          <w:rFonts w:ascii="Times New Roman" w:hAnsi="Times New Roman" w:cs="Times New Roman"/>
          <w:sz w:val="24"/>
          <w:szCs w:val="24"/>
        </w:rPr>
        <w:t xml:space="preserve">mayoría de diez votos de las señoras Ministras y los señores Ministros </w:t>
      </w:r>
      <w:r w:rsidR="006D488C" w:rsidRPr="008A138C">
        <w:rPr>
          <w:rFonts w:ascii="Times New Roman" w:hAnsi="Times New Roman" w:cs="Times New Roman"/>
          <w:sz w:val="24"/>
          <w:szCs w:val="24"/>
        </w:rPr>
        <w:t>Gutiérrez Ortiz Mena, González Alcántara Carrancá, Esquivel Mossa, Ortiz Ahlf,</w:t>
      </w:r>
      <w:r w:rsidR="001B09BB" w:rsidRPr="008A138C">
        <w:rPr>
          <w:rFonts w:ascii="Times New Roman" w:hAnsi="Times New Roman" w:cs="Times New Roman"/>
          <w:sz w:val="24"/>
          <w:szCs w:val="24"/>
        </w:rPr>
        <w:t xml:space="preserve"> </w:t>
      </w:r>
      <w:r w:rsidR="006D488C" w:rsidRPr="008A138C">
        <w:rPr>
          <w:rFonts w:ascii="Times New Roman" w:hAnsi="Times New Roman" w:cs="Times New Roman"/>
          <w:sz w:val="24"/>
          <w:szCs w:val="24"/>
        </w:rPr>
        <w:t>Pardo Rebolledo separándose de las consideraciones y con razones adicionales, Zaldívar Lelo de Larrea</w:t>
      </w:r>
      <w:r w:rsidR="004B76E4" w:rsidRPr="008A138C">
        <w:rPr>
          <w:rFonts w:ascii="Times New Roman" w:hAnsi="Times New Roman" w:cs="Times New Roman"/>
          <w:sz w:val="24"/>
          <w:szCs w:val="24"/>
        </w:rPr>
        <w:t xml:space="preserve"> separándose de las consideraciones y con razones adicionales</w:t>
      </w:r>
      <w:r w:rsidR="006D488C" w:rsidRPr="008A138C">
        <w:rPr>
          <w:rFonts w:ascii="Times New Roman" w:hAnsi="Times New Roman" w:cs="Times New Roman"/>
          <w:sz w:val="24"/>
          <w:szCs w:val="24"/>
        </w:rPr>
        <w:t>, Ríos Farjat apartándose de los párrafos del 73 al 86 y del 149 al 154, Laynez Potisek, Pérez Dayán y Presidenta Piña Hernández separándose de algunas consideraciones.</w:t>
      </w:r>
      <w:r w:rsidR="006E023A" w:rsidRPr="008A138C">
        <w:rPr>
          <w:rFonts w:ascii="Times New Roman" w:hAnsi="Times New Roman" w:cs="Times New Roman"/>
          <w:sz w:val="24"/>
          <w:szCs w:val="24"/>
        </w:rPr>
        <w:t xml:space="preserve"> El Ministro Aguilar Morales votó en contra.</w:t>
      </w:r>
    </w:p>
  </w:footnote>
  <w:footnote w:id="48">
    <w:p w14:paraId="4D87903E" w14:textId="10C82BCB" w:rsidR="00C744CF" w:rsidRPr="008A138C" w:rsidRDefault="00C744CF" w:rsidP="006A0F4D">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Las normas impugnadas establecían lo siguiente:</w:t>
      </w:r>
    </w:p>
    <w:p w14:paraId="4DB4158C" w14:textId="77777777" w:rsidR="003965CA" w:rsidRPr="008A138C" w:rsidRDefault="008F0FED" w:rsidP="006A0F4D">
      <w:pPr>
        <w:pStyle w:val="Textonotapie"/>
        <w:spacing w:after="120"/>
        <w:ind w:left="284" w:hanging="284"/>
        <w:rPr>
          <w:rFonts w:ascii="Times New Roman" w:hAnsi="Times New Roman" w:cs="Times New Roman"/>
          <w:sz w:val="24"/>
          <w:szCs w:val="24"/>
          <w:lang w:val="es-ES"/>
        </w:rPr>
      </w:pPr>
      <w:r w:rsidRPr="008A138C">
        <w:rPr>
          <w:rFonts w:ascii="Times New Roman" w:hAnsi="Times New Roman" w:cs="Times New Roman"/>
          <w:sz w:val="24"/>
          <w:szCs w:val="24"/>
          <w:lang w:val="es-ES"/>
        </w:rPr>
        <w:t>“</w:t>
      </w:r>
      <w:r w:rsidR="003965CA" w:rsidRPr="008A138C">
        <w:rPr>
          <w:rFonts w:ascii="Times New Roman" w:hAnsi="Times New Roman" w:cs="Times New Roman"/>
          <w:b/>
          <w:bCs/>
          <w:sz w:val="24"/>
          <w:szCs w:val="24"/>
          <w:lang w:val="es-ES"/>
        </w:rPr>
        <w:t xml:space="preserve">Artículo 22. </w:t>
      </w:r>
      <w:r w:rsidR="003965CA" w:rsidRPr="008A138C">
        <w:rPr>
          <w:rFonts w:ascii="Times New Roman" w:hAnsi="Times New Roman" w:cs="Times New Roman"/>
          <w:sz w:val="24"/>
          <w:szCs w:val="24"/>
          <w:lang w:val="es-ES"/>
        </w:rPr>
        <w:t>[…]</w:t>
      </w:r>
    </w:p>
    <w:p w14:paraId="7E9BA30E" w14:textId="33CB3E15" w:rsidR="00724385" w:rsidRPr="008A138C" w:rsidRDefault="00724385" w:rsidP="006A0F4D">
      <w:pPr>
        <w:pStyle w:val="Textonotapie"/>
        <w:spacing w:after="120"/>
        <w:ind w:left="284" w:hanging="284"/>
        <w:rPr>
          <w:rFonts w:ascii="Times New Roman" w:hAnsi="Times New Roman" w:cs="Times New Roman"/>
          <w:sz w:val="24"/>
          <w:szCs w:val="24"/>
          <w:lang w:val="es-ES"/>
        </w:rPr>
      </w:pPr>
      <w:r w:rsidRPr="008A138C">
        <w:rPr>
          <w:rFonts w:ascii="Times New Roman" w:hAnsi="Times New Roman" w:cs="Times New Roman"/>
          <w:sz w:val="24"/>
          <w:szCs w:val="24"/>
          <w:lang w:val="es-ES"/>
        </w:rPr>
        <w:t xml:space="preserve">La elección a gobernador del Estado, de los diputados al Congreso del Estado y de los integrantes de los ayuntamientos, deberá realizarse mediante sufragio universal, libre, secreto y directo, a través de elecciones libres, auténticas y periódicas. La jornada comicial tendrá lugar el primer domingo de junio del año que corresponda y procurará realizarse de manera concurrente con los procesos electorales federales. </w:t>
      </w:r>
      <w:r w:rsidRPr="008A138C">
        <w:rPr>
          <w:rFonts w:ascii="Times New Roman" w:hAnsi="Times New Roman" w:cs="Times New Roman"/>
          <w:b/>
          <w:bCs/>
          <w:sz w:val="24"/>
          <w:szCs w:val="24"/>
          <w:lang w:val="es-ES"/>
        </w:rPr>
        <w:t>La elección de Gobernador será concurrente con la elección de Presidente de la República</w:t>
      </w:r>
      <w:r w:rsidRPr="008A138C">
        <w:rPr>
          <w:rFonts w:ascii="Times New Roman" w:hAnsi="Times New Roman" w:cs="Times New Roman"/>
          <w:sz w:val="24"/>
          <w:szCs w:val="24"/>
          <w:lang w:val="es-ES"/>
        </w:rPr>
        <w:t>.</w:t>
      </w:r>
    </w:p>
    <w:p w14:paraId="471CB58B" w14:textId="18078253" w:rsidR="00724385" w:rsidRPr="008A138C" w:rsidRDefault="00724385" w:rsidP="006A0F4D">
      <w:pPr>
        <w:pStyle w:val="Textonotapie"/>
        <w:spacing w:after="120"/>
        <w:ind w:left="284" w:hanging="284"/>
        <w:rPr>
          <w:rFonts w:ascii="Times New Roman" w:hAnsi="Times New Roman" w:cs="Times New Roman"/>
          <w:sz w:val="24"/>
          <w:szCs w:val="24"/>
        </w:rPr>
      </w:pPr>
      <w:r w:rsidRPr="008A138C">
        <w:rPr>
          <w:rFonts w:ascii="Times New Roman" w:hAnsi="Times New Roman" w:cs="Times New Roman"/>
          <w:b/>
          <w:bCs/>
          <w:sz w:val="24"/>
          <w:szCs w:val="24"/>
          <w:lang w:val="es-ES"/>
        </w:rPr>
        <w:t>Artículo 69.</w:t>
      </w:r>
      <w:r w:rsidRPr="008A138C">
        <w:rPr>
          <w:rFonts w:ascii="Times New Roman" w:hAnsi="Times New Roman" w:cs="Times New Roman"/>
          <w:sz w:val="24"/>
          <w:szCs w:val="24"/>
          <w:lang w:val="es-ES"/>
        </w:rPr>
        <w:t xml:space="preserve"> </w:t>
      </w:r>
      <w:r w:rsidR="00934522" w:rsidRPr="008A138C">
        <w:rPr>
          <w:rFonts w:ascii="Times New Roman" w:hAnsi="Times New Roman" w:cs="Times New Roman"/>
          <w:sz w:val="24"/>
          <w:szCs w:val="24"/>
        </w:rPr>
        <w:t xml:space="preserve">La elección de Gobernador será popular y directa, </w:t>
      </w:r>
      <w:r w:rsidR="00934522" w:rsidRPr="008A138C">
        <w:rPr>
          <w:rFonts w:ascii="Times New Roman" w:hAnsi="Times New Roman" w:cs="Times New Roman"/>
          <w:b/>
          <w:bCs/>
          <w:sz w:val="24"/>
          <w:szCs w:val="24"/>
        </w:rPr>
        <w:t>y se realizará de manera concurrente con la elección de Presidente de la República</w:t>
      </w:r>
      <w:r w:rsidR="00934522" w:rsidRPr="008A138C">
        <w:rPr>
          <w:rFonts w:ascii="Times New Roman" w:hAnsi="Times New Roman" w:cs="Times New Roman"/>
          <w:sz w:val="24"/>
          <w:szCs w:val="24"/>
        </w:rPr>
        <w:t>, en los términos que disponga la Ley Electoral</w:t>
      </w:r>
    </w:p>
    <w:p w14:paraId="1C3076FE" w14:textId="73D2BE36" w:rsidR="008F0FED" w:rsidRPr="008A138C" w:rsidRDefault="00273644" w:rsidP="006A0F4D">
      <w:pPr>
        <w:pStyle w:val="Textonotapie"/>
        <w:spacing w:after="120"/>
        <w:ind w:left="284" w:hanging="284"/>
        <w:rPr>
          <w:rFonts w:ascii="Times New Roman" w:hAnsi="Times New Roman" w:cs="Times New Roman"/>
          <w:sz w:val="24"/>
          <w:szCs w:val="24"/>
          <w:lang w:val="es-ES"/>
        </w:rPr>
      </w:pPr>
      <w:r w:rsidRPr="008A138C">
        <w:rPr>
          <w:rFonts w:ascii="Times New Roman" w:hAnsi="Times New Roman" w:cs="Times New Roman"/>
          <w:b/>
          <w:bCs/>
          <w:sz w:val="24"/>
          <w:szCs w:val="24"/>
        </w:rPr>
        <w:t>Artículo</w:t>
      </w:r>
      <w:r w:rsidR="00934522" w:rsidRPr="008A138C">
        <w:rPr>
          <w:rFonts w:ascii="Times New Roman" w:hAnsi="Times New Roman" w:cs="Times New Roman"/>
          <w:b/>
          <w:bCs/>
          <w:sz w:val="24"/>
          <w:szCs w:val="24"/>
        </w:rPr>
        <w:t xml:space="preserve"> </w:t>
      </w:r>
      <w:r w:rsidRPr="008A138C">
        <w:rPr>
          <w:rFonts w:ascii="Times New Roman" w:hAnsi="Times New Roman" w:cs="Times New Roman"/>
          <w:b/>
          <w:bCs/>
          <w:sz w:val="24"/>
          <w:szCs w:val="24"/>
        </w:rPr>
        <w:t>Segundo</w:t>
      </w:r>
      <w:r w:rsidR="00934522" w:rsidRPr="008A138C">
        <w:rPr>
          <w:rFonts w:ascii="Times New Roman" w:hAnsi="Times New Roman" w:cs="Times New Roman"/>
          <w:b/>
          <w:bCs/>
          <w:sz w:val="24"/>
          <w:szCs w:val="24"/>
        </w:rPr>
        <w:t>.</w:t>
      </w:r>
      <w:r w:rsidR="00934522" w:rsidRPr="008A138C">
        <w:rPr>
          <w:rFonts w:ascii="Times New Roman" w:hAnsi="Times New Roman" w:cs="Times New Roman"/>
          <w:sz w:val="24"/>
          <w:szCs w:val="24"/>
        </w:rPr>
        <w:t xml:space="preserve"> </w:t>
      </w:r>
      <w:r w:rsidR="006A0F4D" w:rsidRPr="008A138C">
        <w:rPr>
          <w:rFonts w:ascii="Times New Roman" w:hAnsi="Times New Roman" w:cs="Times New Roman"/>
          <w:sz w:val="24"/>
          <w:szCs w:val="24"/>
        </w:rPr>
        <w:t>Para efectos de llevar a cabo las elecciones locales y federales de manera concurrente, por única ocasión, quien resulte ser Gobernador electo del Estado de Sonora en los comicios electorales que para esos efectos se celebren al año 2027, será electo por un periodo de tres años, para que ejerza sus funciones a partir del día 13 de septiembre del año 2027 y hasta el día 12 de septiembre del año 2030”.</w:t>
      </w:r>
    </w:p>
  </w:footnote>
  <w:footnote w:id="49">
    <w:p w14:paraId="5ECEBA05" w14:textId="77777777" w:rsidR="008050CB" w:rsidRPr="008A138C" w:rsidRDefault="008050CB" w:rsidP="008050CB">
      <w:pPr>
        <w:pStyle w:val="Textonotapie"/>
        <w:spacing w:after="120"/>
        <w:ind w:left="284" w:hanging="284"/>
        <w:rPr>
          <w:rFonts w:ascii="Times New Roman" w:hAnsi="Times New Roman" w:cs="Times New Roman"/>
          <w:sz w:val="24"/>
          <w:szCs w:val="24"/>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b/>
          <w:bCs/>
          <w:sz w:val="24"/>
          <w:szCs w:val="24"/>
        </w:rPr>
        <w:t>Artículo 69.</w:t>
      </w:r>
      <w:r w:rsidRPr="008A138C">
        <w:rPr>
          <w:rFonts w:ascii="Times New Roman" w:hAnsi="Times New Roman" w:cs="Times New Roman"/>
          <w:sz w:val="24"/>
          <w:szCs w:val="24"/>
        </w:rPr>
        <w:t xml:space="preserve"> El Gobernador rendirá la protesta de Ley el primero de diciembre del año de su renovación y enseguida tomará posesión de su encargo, que durará seis años. Nunca podrá ser reelecto para otro periodo constitucional.</w:t>
      </w:r>
    </w:p>
    <w:p w14:paraId="3BC33000" w14:textId="77777777" w:rsidR="008050CB" w:rsidRPr="008A138C" w:rsidRDefault="008050CB" w:rsidP="008050CB">
      <w:pPr>
        <w:pStyle w:val="Textonotapie"/>
        <w:rPr>
          <w:rFonts w:ascii="Times New Roman" w:hAnsi="Times New Roman" w:cs="Times New Roman"/>
          <w:sz w:val="24"/>
          <w:szCs w:val="24"/>
          <w:lang w:val="es-ES"/>
        </w:rPr>
      </w:pPr>
    </w:p>
  </w:footnote>
  <w:footnote w:id="50">
    <w:p w14:paraId="53A49EB1" w14:textId="67497903" w:rsidR="00653EF0" w:rsidRPr="008A138C" w:rsidRDefault="00653EF0" w:rsidP="00CB3C30">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Resuelta en la sesión pública </w:t>
      </w:r>
      <w:r w:rsidR="00F71FC2" w:rsidRPr="008A138C">
        <w:rPr>
          <w:rFonts w:ascii="Times New Roman" w:hAnsi="Times New Roman" w:cs="Times New Roman"/>
          <w:sz w:val="24"/>
          <w:szCs w:val="24"/>
        </w:rPr>
        <w:t>de once de junio de dos mil quince</w:t>
      </w:r>
      <w:r w:rsidR="004B78C7" w:rsidRPr="008A138C">
        <w:rPr>
          <w:rFonts w:ascii="Times New Roman" w:hAnsi="Times New Roman" w:cs="Times New Roman"/>
          <w:sz w:val="24"/>
          <w:szCs w:val="24"/>
        </w:rPr>
        <w:t>,</w:t>
      </w:r>
      <w:r w:rsidR="00CB3C30" w:rsidRPr="008A138C">
        <w:rPr>
          <w:rFonts w:ascii="Times New Roman" w:hAnsi="Times New Roman" w:cs="Times New Roman"/>
          <w:sz w:val="24"/>
          <w:szCs w:val="24"/>
        </w:rPr>
        <w:t xml:space="preserve"> aprobada en este punto</w:t>
      </w:r>
      <w:r w:rsidR="004B78C7" w:rsidRPr="008A138C">
        <w:rPr>
          <w:rFonts w:ascii="Times New Roman" w:hAnsi="Times New Roman" w:cs="Times New Roman"/>
          <w:sz w:val="24"/>
          <w:szCs w:val="24"/>
        </w:rPr>
        <w:t xml:space="preserve"> </w:t>
      </w:r>
      <w:r w:rsidR="003E4EB9" w:rsidRPr="008A138C">
        <w:rPr>
          <w:rFonts w:ascii="Times New Roman" w:hAnsi="Times New Roman" w:cs="Times New Roman"/>
          <w:sz w:val="24"/>
          <w:szCs w:val="24"/>
        </w:rPr>
        <w:t>por unanimidad de once votos de los señores Ministros y las señoras Ministras Gutiérrez Ortiz Mena, Cossío Díaz, Luna Ramos, Franco González Salas, Zaldívar Lelo de Larrea, Pardo Rebolledo, Silva Meza, Medina Mora I., Sánchez Cordero de García Villegas, Pérez Dayán y Presidente Aguilar Morales</w:t>
      </w:r>
      <w:r w:rsidR="00CB3C30" w:rsidRPr="008A138C">
        <w:rPr>
          <w:rFonts w:ascii="Times New Roman" w:hAnsi="Times New Roman" w:cs="Times New Roman"/>
          <w:sz w:val="24"/>
          <w:szCs w:val="24"/>
        </w:rPr>
        <w:t>.</w:t>
      </w:r>
    </w:p>
  </w:footnote>
  <w:footnote w:id="51">
    <w:p w14:paraId="69A10A62" w14:textId="77777777" w:rsidR="000447D8" w:rsidRPr="008A138C" w:rsidRDefault="00504F08" w:rsidP="00F0203E">
      <w:pPr>
        <w:pStyle w:val="Textonotapie"/>
        <w:spacing w:after="120"/>
        <w:ind w:left="284" w:hanging="284"/>
        <w:rPr>
          <w:rFonts w:ascii="Times New Roman" w:hAnsi="Times New Roman" w:cs="Times New Roman"/>
          <w:sz w:val="24"/>
          <w:szCs w:val="24"/>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0447D8" w:rsidRPr="008A138C">
        <w:rPr>
          <w:rFonts w:ascii="Times New Roman" w:hAnsi="Times New Roman" w:cs="Times New Roman"/>
          <w:sz w:val="24"/>
          <w:szCs w:val="24"/>
        </w:rPr>
        <w:t>El contenido de las normas impugnadas era el siguiente:</w:t>
      </w:r>
    </w:p>
    <w:p w14:paraId="6B6E9A41" w14:textId="564B8FE9" w:rsidR="00F0203E" w:rsidRPr="008A138C" w:rsidRDefault="000447D8" w:rsidP="00F0203E">
      <w:pPr>
        <w:pStyle w:val="Textonotapie"/>
        <w:spacing w:after="120"/>
        <w:ind w:left="284" w:hanging="284"/>
        <w:rPr>
          <w:rFonts w:ascii="Times New Roman" w:hAnsi="Times New Roman" w:cs="Times New Roman"/>
          <w:sz w:val="24"/>
          <w:szCs w:val="24"/>
        </w:rPr>
      </w:pPr>
      <w:r w:rsidRPr="008A138C">
        <w:rPr>
          <w:rFonts w:ascii="Times New Roman" w:hAnsi="Times New Roman" w:cs="Times New Roman"/>
          <w:sz w:val="24"/>
          <w:szCs w:val="24"/>
        </w:rPr>
        <w:t>“</w:t>
      </w:r>
      <w:r w:rsidR="00F0203E" w:rsidRPr="008A138C">
        <w:rPr>
          <w:rFonts w:ascii="Times New Roman" w:hAnsi="Times New Roman" w:cs="Times New Roman"/>
          <w:b/>
          <w:bCs/>
          <w:sz w:val="24"/>
          <w:szCs w:val="24"/>
        </w:rPr>
        <w:t>Segundo.</w:t>
      </w:r>
      <w:r w:rsidR="00F0203E" w:rsidRPr="008A138C">
        <w:rPr>
          <w:rFonts w:ascii="Times New Roman" w:hAnsi="Times New Roman" w:cs="Times New Roman"/>
          <w:sz w:val="24"/>
          <w:szCs w:val="24"/>
        </w:rPr>
        <w:t xml:space="preserve"> Los diputados al Congreso del Estado que se elijan el primer domingo de junio de 2016 durarán en su encargo dos años. Los diputados a la LXV Legislatura serán electos excepcionalmente el primer domingo de julio de 2018 y tomarán posesión el 5 de noviembre del mismo año. Asimismo, el primer domingo de julio de 2018 se elegirá al Gobernador del Estado, para cubrir el período del 1 de diciembre de 2018 al 30 de noviembre de 2024.</w:t>
      </w:r>
    </w:p>
    <w:p w14:paraId="4DD8713C" w14:textId="67234C1F" w:rsidR="00504F08" w:rsidRPr="008A138C" w:rsidRDefault="00F0203E" w:rsidP="00F0203E">
      <w:pPr>
        <w:pStyle w:val="Textonotapie"/>
        <w:spacing w:after="120"/>
        <w:ind w:left="284" w:hanging="284"/>
        <w:rPr>
          <w:rFonts w:ascii="Times New Roman" w:hAnsi="Times New Roman" w:cs="Times New Roman"/>
          <w:sz w:val="24"/>
          <w:szCs w:val="24"/>
          <w:lang w:val="es-ES"/>
        </w:rPr>
      </w:pPr>
      <w:r w:rsidRPr="008A138C">
        <w:rPr>
          <w:rFonts w:ascii="Times New Roman" w:hAnsi="Times New Roman" w:cs="Times New Roman"/>
          <w:b/>
          <w:bCs/>
          <w:sz w:val="24"/>
          <w:szCs w:val="24"/>
        </w:rPr>
        <w:t>Cuarto.</w:t>
      </w:r>
      <w:r w:rsidRPr="008A138C">
        <w:rPr>
          <w:rFonts w:ascii="Times New Roman" w:hAnsi="Times New Roman" w:cs="Times New Roman"/>
          <w:sz w:val="24"/>
          <w:szCs w:val="24"/>
        </w:rPr>
        <w:t xml:space="preserve"> El Gobernador electo el primer domingo de junio de 2016 entrará a ejercer su encargo el primero de diciembre de 2016 y concluirá el treinta de noviembre de 2018</w:t>
      </w:r>
      <w:r w:rsidR="000447D8" w:rsidRPr="008A138C">
        <w:rPr>
          <w:rFonts w:ascii="Times New Roman" w:hAnsi="Times New Roman" w:cs="Times New Roman"/>
          <w:sz w:val="24"/>
          <w:szCs w:val="24"/>
        </w:rPr>
        <w:t>”.</w:t>
      </w:r>
    </w:p>
  </w:footnote>
  <w:footnote w:id="52">
    <w:p w14:paraId="5A3FBB4C" w14:textId="2582C3F2" w:rsidR="00AF0724" w:rsidRPr="008A138C" w:rsidRDefault="00AF0724" w:rsidP="00892943">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6F6CD2" w:rsidRPr="008A138C">
        <w:rPr>
          <w:rFonts w:ascii="Times New Roman" w:hAnsi="Times New Roman" w:cs="Times New Roman"/>
          <w:sz w:val="24"/>
          <w:szCs w:val="24"/>
        </w:rPr>
        <w:t xml:space="preserve">Como la </w:t>
      </w:r>
      <w:r w:rsidR="006F6CD2" w:rsidRPr="008A138C">
        <w:rPr>
          <w:rFonts w:ascii="Times New Roman" w:hAnsi="Times New Roman" w:cs="Times New Roman"/>
          <w:b/>
          <w:bCs/>
          <w:sz w:val="24"/>
          <w:szCs w:val="24"/>
        </w:rPr>
        <w:t>acción de inconstitucionalidad 3/2002</w:t>
      </w:r>
      <w:r w:rsidR="006F6CD2" w:rsidRPr="008A138C">
        <w:rPr>
          <w:rFonts w:ascii="Times New Roman" w:hAnsi="Times New Roman" w:cs="Times New Roman"/>
          <w:sz w:val="24"/>
          <w:szCs w:val="24"/>
        </w:rPr>
        <w:t xml:space="preserve">, resuelta el veintidós de abril de dos mil dos, por unanimidad de once votos; o la </w:t>
      </w:r>
      <w:r w:rsidR="006F6CD2" w:rsidRPr="008A138C">
        <w:rPr>
          <w:rFonts w:ascii="Times New Roman" w:hAnsi="Times New Roman" w:cs="Times New Roman"/>
          <w:b/>
          <w:bCs/>
          <w:sz w:val="24"/>
          <w:szCs w:val="24"/>
        </w:rPr>
        <w:t xml:space="preserve">acción de inconstitucionalidad </w:t>
      </w:r>
      <w:r w:rsidR="006B035F" w:rsidRPr="008A138C">
        <w:rPr>
          <w:rFonts w:ascii="Times New Roman" w:hAnsi="Times New Roman" w:cs="Times New Roman"/>
          <w:b/>
          <w:bCs/>
          <w:sz w:val="24"/>
          <w:szCs w:val="24"/>
        </w:rPr>
        <w:t>39/2006 y sus acumuladas 40/2006 y 42/2006</w:t>
      </w:r>
      <w:r w:rsidR="006B035F" w:rsidRPr="008A138C">
        <w:rPr>
          <w:rFonts w:ascii="Times New Roman" w:hAnsi="Times New Roman" w:cs="Times New Roman"/>
          <w:sz w:val="24"/>
          <w:szCs w:val="24"/>
        </w:rPr>
        <w:t xml:space="preserve">, </w:t>
      </w:r>
      <w:r w:rsidR="003943EE" w:rsidRPr="008A138C">
        <w:rPr>
          <w:rFonts w:ascii="Times New Roman" w:hAnsi="Times New Roman" w:cs="Times New Roman"/>
          <w:sz w:val="24"/>
          <w:szCs w:val="24"/>
        </w:rPr>
        <w:t xml:space="preserve">resuelta en sesión plenaria de nueve de diciembre de dos mil seis, </w:t>
      </w:r>
      <w:r w:rsidR="00CC4CAB" w:rsidRPr="008A138C">
        <w:rPr>
          <w:rFonts w:ascii="Times New Roman" w:hAnsi="Times New Roman" w:cs="Times New Roman"/>
          <w:sz w:val="24"/>
          <w:szCs w:val="24"/>
        </w:rPr>
        <w:t>por mayoría de nueve votos de las Ministras y los Ministros Aguirre Anguiano, Cossío Díaz, Luna Ramos, Góngora Pimentel, Gudiño Pelayo, Ortiz Mayagoitia, Valls Hernández, Silva Meza y Presidente Azuela Güitrón</w:t>
      </w:r>
      <w:r w:rsidR="009E0E9F" w:rsidRPr="008A138C">
        <w:rPr>
          <w:rFonts w:ascii="Times New Roman" w:hAnsi="Times New Roman" w:cs="Times New Roman"/>
          <w:sz w:val="24"/>
          <w:szCs w:val="24"/>
        </w:rPr>
        <w:t>. L</w:t>
      </w:r>
      <w:r w:rsidR="00CC4CAB" w:rsidRPr="008A138C">
        <w:rPr>
          <w:rFonts w:ascii="Times New Roman" w:hAnsi="Times New Roman" w:cs="Times New Roman"/>
          <w:sz w:val="24"/>
          <w:szCs w:val="24"/>
        </w:rPr>
        <w:t>a Ministra Sánchez Cordero votó en contra y reserv</w:t>
      </w:r>
      <w:r w:rsidR="00892943" w:rsidRPr="008A138C">
        <w:rPr>
          <w:rFonts w:ascii="Times New Roman" w:hAnsi="Times New Roman" w:cs="Times New Roman"/>
          <w:sz w:val="24"/>
          <w:szCs w:val="24"/>
        </w:rPr>
        <w:t>ó</w:t>
      </w:r>
      <w:r w:rsidR="00CC4CAB" w:rsidRPr="008A138C">
        <w:rPr>
          <w:rFonts w:ascii="Times New Roman" w:hAnsi="Times New Roman" w:cs="Times New Roman"/>
          <w:sz w:val="24"/>
          <w:szCs w:val="24"/>
        </w:rPr>
        <w:t xml:space="preserve"> su derecho de formular voto particular.</w:t>
      </w:r>
    </w:p>
  </w:footnote>
  <w:footnote w:id="53">
    <w:p w14:paraId="271AD38D" w14:textId="4BADF051" w:rsidR="00202B29" w:rsidRPr="008A138C" w:rsidRDefault="00202B29" w:rsidP="00843AB8">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843AB8" w:rsidRPr="008A138C">
        <w:rPr>
          <w:rFonts w:ascii="Times New Roman" w:hAnsi="Times New Roman" w:cs="Times New Roman"/>
          <w:sz w:val="24"/>
          <w:szCs w:val="24"/>
        </w:rPr>
        <w:t>Resuelto en la sesión pública celebrada el once de mayo de dos mil veinte.</w:t>
      </w:r>
    </w:p>
  </w:footnote>
  <w:footnote w:id="54">
    <w:p w14:paraId="4E5FC161" w14:textId="36D6E895" w:rsidR="00F666AF" w:rsidRPr="008A138C" w:rsidRDefault="00F666AF" w:rsidP="00F666AF">
      <w:pPr>
        <w:pStyle w:val="Estilo"/>
        <w:spacing w:after="120"/>
        <w:ind w:left="284" w:hanging="284"/>
        <w:rPr>
          <w:rFonts w:ascii="Times New Roman" w:hAnsi="Times New Roman"/>
          <w:szCs w:val="24"/>
        </w:rPr>
      </w:pPr>
      <w:r w:rsidRPr="008A138C">
        <w:rPr>
          <w:rStyle w:val="Refdenotaalpie"/>
          <w:rFonts w:ascii="Times New Roman" w:hAnsi="Times New Roman"/>
          <w:szCs w:val="24"/>
        </w:rPr>
        <w:footnoteRef/>
      </w:r>
      <w:r w:rsidRPr="008A138C">
        <w:rPr>
          <w:rFonts w:ascii="Times New Roman" w:hAnsi="Times New Roman"/>
          <w:szCs w:val="24"/>
        </w:rPr>
        <w:t xml:space="preserve"> La disposición transitoria establecía lo siguiente: “</w:t>
      </w:r>
      <w:r w:rsidRPr="008A138C">
        <w:rPr>
          <w:rFonts w:ascii="Times New Roman" w:hAnsi="Times New Roman"/>
          <w:b/>
          <w:bCs/>
          <w:szCs w:val="24"/>
        </w:rPr>
        <w:t>Octavo</w:t>
      </w:r>
      <w:r w:rsidRPr="008A138C">
        <w:rPr>
          <w:rFonts w:ascii="Times New Roman" w:hAnsi="Times New Roman"/>
          <w:szCs w:val="24"/>
        </w:rPr>
        <w:t>. Para efecto de la concurrencia de la elección de Gobernador del Estado con el proceso electoral federal 2021, el Gobernador electo en el proceso electoral de 2019, iniciará funciones el primero de noviembre de 2019 y concluirá el 31 de octubre de 2021</w:t>
      </w:r>
      <w:r w:rsidR="00FE7BC7" w:rsidRPr="008A138C">
        <w:rPr>
          <w:rFonts w:ascii="Times New Roman" w:hAnsi="Times New Roman"/>
          <w:szCs w:val="24"/>
        </w:rPr>
        <w:t xml:space="preserve">. </w:t>
      </w:r>
      <w:r w:rsidR="00FE7BC7" w:rsidRPr="008A138C">
        <w:rPr>
          <w:rFonts w:ascii="Times New Roman" w:hAnsi="Times New Roman"/>
          <w:szCs w:val="24"/>
          <w:lang w:val="es-ES"/>
        </w:rPr>
        <w:t>[…]”</w:t>
      </w:r>
      <w:r w:rsidRPr="008A138C">
        <w:rPr>
          <w:rFonts w:ascii="Times New Roman" w:hAnsi="Times New Roman"/>
          <w:szCs w:val="24"/>
        </w:rPr>
        <w:t>.</w:t>
      </w:r>
    </w:p>
  </w:footnote>
  <w:footnote w:id="55">
    <w:p w14:paraId="042FF64F" w14:textId="59997EEB" w:rsidR="00715C73" w:rsidRPr="008A138C" w:rsidRDefault="00715C73" w:rsidP="0062461A">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El ciudadano Jaime Bonilla Valdez.</w:t>
      </w:r>
    </w:p>
  </w:footnote>
  <w:footnote w:id="56">
    <w:p w14:paraId="7337C23D" w14:textId="72405E95" w:rsidR="008E33CC" w:rsidRPr="008A138C" w:rsidRDefault="008E33CC" w:rsidP="00000657">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El texto del artículo transitorio se reformuló así: “</w:t>
      </w:r>
      <w:r w:rsidRPr="008A138C">
        <w:rPr>
          <w:rFonts w:ascii="Times New Roman" w:hAnsi="Times New Roman" w:cs="Times New Roman"/>
          <w:b/>
          <w:bCs/>
          <w:sz w:val="24"/>
          <w:szCs w:val="24"/>
          <w:lang w:val="es-ES"/>
        </w:rPr>
        <w:t>Octavo.</w:t>
      </w:r>
      <w:r w:rsidRPr="008A138C">
        <w:rPr>
          <w:rFonts w:ascii="Times New Roman" w:hAnsi="Times New Roman" w:cs="Times New Roman"/>
          <w:sz w:val="24"/>
          <w:szCs w:val="24"/>
          <w:lang w:val="es-ES"/>
        </w:rPr>
        <w:t xml:space="preserve"> </w:t>
      </w:r>
      <w:r w:rsidR="00000657" w:rsidRPr="008A138C">
        <w:rPr>
          <w:rFonts w:ascii="Times New Roman" w:hAnsi="Times New Roman" w:cs="Times New Roman"/>
          <w:sz w:val="24"/>
          <w:szCs w:val="24"/>
          <w:lang w:val="es-ES"/>
        </w:rPr>
        <w:t xml:space="preserve">Para efecto de la concurrencia de la elección de </w:t>
      </w:r>
      <w:r w:rsidR="00000657" w:rsidRPr="008A138C">
        <w:rPr>
          <w:rFonts w:ascii="Times New Roman" w:hAnsi="Times New Roman" w:cs="Times New Roman"/>
          <w:b/>
          <w:bCs/>
          <w:sz w:val="24"/>
          <w:szCs w:val="24"/>
          <w:lang w:val="es-ES"/>
        </w:rPr>
        <w:t>Gubernatura</w:t>
      </w:r>
      <w:r w:rsidR="00000657" w:rsidRPr="008A138C">
        <w:rPr>
          <w:rFonts w:ascii="Times New Roman" w:hAnsi="Times New Roman" w:cs="Times New Roman"/>
          <w:sz w:val="24"/>
          <w:szCs w:val="24"/>
          <w:lang w:val="es-ES"/>
        </w:rPr>
        <w:t xml:space="preserve"> del </w:t>
      </w:r>
      <w:r w:rsidR="005905B6" w:rsidRPr="008A138C">
        <w:rPr>
          <w:rFonts w:ascii="Times New Roman" w:hAnsi="Times New Roman" w:cs="Times New Roman"/>
          <w:sz w:val="24"/>
          <w:szCs w:val="24"/>
          <w:lang w:val="es-ES"/>
        </w:rPr>
        <w:t xml:space="preserve">Estado </w:t>
      </w:r>
      <w:r w:rsidR="00000657" w:rsidRPr="008A138C">
        <w:rPr>
          <w:rFonts w:ascii="Times New Roman" w:hAnsi="Times New Roman" w:cs="Times New Roman"/>
          <w:sz w:val="24"/>
          <w:szCs w:val="24"/>
          <w:lang w:val="es-ES"/>
        </w:rPr>
        <w:t xml:space="preserve">con el proceso electoral federal </w:t>
      </w:r>
      <w:r w:rsidR="00000657" w:rsidRPr="008A138C">
        <w:rPr>
          <w:rFonts w:ascii="Times New Roman" w:hAnsi="Times New Roman" w:cs="Times New Roman"/>
          <w:b/>
          <w:bCs/>
          <w:sz w:val="24"/>
          <w:szCs w:val="24"/>
          <w:lang w:val="es-ES"/>
        </w:rPr>
        <w:t>de 2024</w:t>
      </w:r>
      <w:r w:rsidR="00000657" w:rsidRPr="008A138C">
        <w:rPr>
          <w:rFonts w:ascii="Times New Roman" w:hAnsi="Times New Roman" w:cs="Times New Roman"/>
          <w:sz w:val="24"/>
          <w:szCs w:val="24"/>
          <w:lang w:val="es-ES"/>
        </w:rPr>
        <w:t xml:space="preserve">, </w:t>
      </w:r>
      <w:r w:rsidR="00000657" w:rsidRPr="008A138C">
        <w:rPr>
          <w:rFonts w:ascii="Times New Roman" w:hAnsi="Times New Roman" w:cs="Times New Roman"/>
          <w:b/>
          <w:bCs/>
          <w:sz w:val="24"/>
          <w:szCs w:val="24"/>
          <w:lang w:val="es-ES"/>
        </w:rPr>
        <w:t xml:space="preserve">la Gubernatura electa </w:t>
      </w:r>
      <w:r w:rsidR="00000657" w:rsidRPr="008A138C">
        <w:rPr>
          <w:rFonts w:ascii="Times New Roman" w:hAnsi="Times New Roman" w:cs="Times New Roman"/>
          <w:sz w:val="24"/>
          <w:szCs w:val="24"/>
          <w:lang w:val="es-ES"/>
        </w:rPr>
        <w:t xml:space="preserve">en el proceso electoral de 2019, iniciará funciones el primero de noviembre de 2019 y concluirá el 31 de octubre de </w:t>
      </w:r>
      <w:r w:rsidR="00000657" w:rsidRPr="008A138C">
        <w:rPr>
          <w:rFonts w:ascii="Times New Roman" w:hAnsi="Times New Roman" w:cs="Times New Roman"/>
          <w:b/>
          <w:bCs/>
          <w:sz w:val="24"/>
          <w:szCs w:val="24"/>
          <w:lang w:val="es-ES"/>
        </w:rPr>
        <w:t>2024</w:t>
      </w:r>
      <w:r w:rsidR="00000657" w:rsidRPr="008A138C">
        <w:rPr>
          <w:rFonts w:ascii="Times New Roman" w:hAnsi="Times New Roman" w:cs="Times New Roman"/>
          <w:sz w:val="24"/>
          <w:szCs w:val="24"/>
          <w:lang w:val="es-ES"/>
        </w:rPr>
        <w:t xml:space="preserve">. </w:t>
      </w:r>
      <w:r w:rsidR="00FE7BC7" w:rsidRPr="008A138C">
        <w:rPr>
          <w:rFonts w:ascii="Times New Roman" w:hAnsi="Times New Roman" w:cs="Times New Roman"/>
          <w:sz w:val="24"/>
          <w:szCs w:val="24"/>
          <w:lang w:val="es-ES"/>
        </w:rPr>
        <w:t>[…]</w:t>
      </w:r>
      <w:r w:rsidRPr="008A138C">
        <w:rPr>
          <w:rFonts w:ascii="Times New Roman" w:hAnsi="Times New Roman" w:cs="Times New Roman"/>
          <w:sz w:val="24"/>
          <w:szCs w:val="24"/>
          <w:lang w:val="es-ES"/>
        </w:rPr>
        <w:t>”.</w:t>
      </w:r>
      <w:r w:rsidR="00FE7BC7" w:rsidRPr="008A138C">
        <w:rPr>
          <w:rFonts w:ascii="Times New Roman" w:hAnsi="Times New Roman" w:cs="Times New Roman"/>
          <w:sz w:val="24"/>
          <w:szCs w:val="24"/>
          <w:lang w:val="es-ES"/>
        </w:rPr>
        <w:t xml:space="preserve"> (</w:t>
      </w:r>
      <w:r w:rsidR="00FE7BC7" w:rsidRPr="008A138C">
        <w:rPr>
          <w:rFonts w:ascii="Times New Roman" w:hAnsi="Times New Roman" w:cs="Times New Roman"/>
          <w:b/>
          <w:bCs/>
          <w:sz w:val="24"/>
          <w:szCs w:val="24"/>
          <w:lang w:val="es-ES"/>
        </w:rPr>
        <w:t>se resaltan las porciones reformadas</w:t>
      </w:r>
      <w:r w:rsidR="00FE7BC7" w:rsidRPr="008A138C">
        <w:rPr>
          <w:rFonts w:ascii="Times New Roman" w:hAnsi="Times New Roman" w:cs="Times New Roman"/>
          <w:sz w:val="24"/>
          <w:szCs w:val="24"/>
          <w:lang w:val="es-ES"/>
        </w:rPr>
        <w:t>).</w:t>
      </w:r>
    </w:p>
  </w:footnote>
  <w:footnote w:id="57">
    <w:p w14:paraId="32BF2503" w14:textId="4DD4A9BA" w:rsidR="00EC285D" w:rsidRPr="008A138C" w:rsidRDefault="00EC285D" w:rsidP="00A10E35">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115538" w:rsidRPr="008A138C">
        <w:rPr>
          <w:rFonts w:ascii="Times New Roman" w:hAnsi="Times New Roman" w:cs="Times New Roman"/>
          <w:sz w:val="24"/>
          <w:szCs w:val="24"/>
        </w:rPr>
        <w:t xml:space="preserve">Por unanimidad de once votos de los señores Ministros y las señoras Ministras </w:t>
      </w:r>
      <w:r w:rsidR="001D150C" w:rsidRPr="008A138C">
        <w:rPr>
          <w:rFonts w:ascii="Times New Roman" w:hAnsi="Times New Roman" w:cs="Times New Roman"/>
          <w:sz w:val="24"/>
          <w:szCs w:val="24"/>
        </w:rPr>
        <w:t>Gutiérrez</w:t>
      </w:r>
      <w:r w:rsidR="00115538" w:rsidRPr="008A138C">
        <w:rPr>
          <w:rFonts w:ascii="Times New Roman" w:hAnsi="Times New Roman" w:cs="Times New Roman"/>
          <w:sz w:val="24"/>
          <w:szCs w:val="24"/>
        </w:rPr>
        <w:t xml:space="preserve"> Ortiz Mena, González Alcántara Carrancá, Esquivel Mossa, Franco González Salas, Aguilar Morales</w:t>
      </w:r>
      <w:r w:rsidR="00903BBC" w:rsidRPr="008A138C">
        <w:rPr>
          <w:rFonts w:ascii="Times New Roman" w:hAnsi="Times New Roman" w:cs="Times New Roman"/>
          <w:sz w:val="24"/>
          <w:szCs w:val="24"/>
        </w:rPr>
        <w:t xml:space="preserve"> </w:t>
      </w:r>
      <w:r w:rsidR="00903BBC" w:rsidRPr="008A138C">
        <w:rPr>
          <w:rFonts w:ascii="Times New Roman" w:hAnsi="Times New Roman" w:cs="Times New Roman"/>
          <w:sz w:val="24"/>
          <w:szCs w:val="24"/>
          <w:lang w:val="es-ES"/>
        </w:rPr>
        <w:t>con consideraciones adicionales</w:t>
      </w:r>
      <w:r w:rsidR="00115538" w:rsidRPr="008A138C">
        <w:rPr>
          <w:rFonts w:ascii="Times New Roman" w:hAnsi="Times New Roman" w:cs="Times New Roman"/>
          <w:sz w:val="24"/>
          <w:szCs w:val="24"/>
        </w:rPr>
        <w:t>, Pardo Rebolledo</w:t>
      </w:r>
      <w:r w:rsidR="00A10E35" w:rsidRPr="008A138C">
        <w:rPr>
          <w:rFonts w:ascii="Times New Roman" w:hAnsi="Times New Roman" w:cs="Times New Roman"/>
          <w:sz w:val="24"/>
          <w:szCs w:val="24"/>
        </w:rPr>
        <w:t xml:space="preserve"> </w:t>
      </w:r>
      <w:r w:rsidR="00A10E35" w:rsidRPr="008A138C">
        <w:rPr>
          <w:rFonts w:ascii="Times New Roman" w:hAnsi="Times New Roman" w:cs="Times New Roman"/>
          <w:sz w:val="24"/>
          <w:szCs w:val="24"/>
          <w:lang w:val="es-ES"/>
        </w:rPr>
        <w:t>separándose de algunas consideraciones</w:t>
      </w:r>
      <w:r w:rsidR="00115538" w:rsidRPr="008A138C">
        <w:rPr>
          <w:rFonts w:ascii="Times New Roman" w:hAnsi="Times New Roman" w:cs="Times New Roman"/>
          <w:sz w:val="24"/>
          <w:szCs w:val="24"/>
        </w:rPr>
        <w:t>, Piña Hernánde</w:t>
      </w:r>
      <w:r w:rsidR="00825754" w:rsidRPr="008A138C">
        <w:rPr>
          <w:rFonts w:ascii="Times New Roman" w:hAnsi="Times New Roman" w:cs="Times New Roman"/>
          <w:sz w:val="24"/>
          <w:szCs w:val="24"/>
        </w:rPr>
        <w:t>z</w:t>
      </w:r>
      <w:r w:rsidR="00115538" w:rsidRPr="008A138C">
        <w:rPr>
          <w:rFonts w:ascii="Times New Roman" w:hAnsi="Times New Roman" w:cs="Times New Roman"/>
          <w:sz w:val="24"/>
          <w:szCs w:val="24"/>
        </w:rPr>
        <w:t>, Ríos Farjat, Laynez Potisek, Pérez Dayán y Presidente Zaldívar Lelo de Larrea con razones adicionales.</w:t>
      </w:r>
    </w:p>
  </w:footnote>
  <w:footnote w:id="58">
    <w:p w14:paraId="25A63C48" w14:textId="7632B061" w:rsidR="00490784" w:rsidRPr="008A138C" w:rsidRDefault="00490784" w:rsidP="00490784">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Resuelta en la sesión pública de dieciséis de octubre de dos mil veintitrés, aprobada en este punto por </w:t>
      </w:r>
      <w:r w:rsidR="005B21DE" w:rsidRPr="008A138C">
        <w:rPr>
          <w:rFonts w:ascii="Times New Roman" w:hAnsi="Times New Roman" w:cs="Times New Roman"/>
          <w:sz w:val="24"/>
          <w:szCs w:val="24"/>
        </w:rPr>
        <w:t>unanimidad de once</w:t>
      </w:r>
      <w:r w:rsidRPr="008A138C">
        <w:rPr>
          <w:rFonts w:ascii="Times New Roman" w:hAnsi="Times New Roman" w:cs="Times New Roman"/>
          <w:sz w:val="24"/>
          <w:szCs w:val="24"/>
        </w:rPr>
        <w:t xml:space="preserve"> votos de las señoras Ministras y los señores Ministros Gutiérrez Ortiz Mena, González Alcántara Carrancá, Esquivel Mossa, Ortiz Ahlf, </w:t>
      </w:r>
      <w:r w:rsidR="00DF0802" w:rsidRPr="008A138C">
        <w:rPr>
          <w:rFonts w:ascii="Times New Roman" w:hAnsi="Times New Roman" w:cs="Times New Roman"/>
          <w:sz w:val="24"/>
          <w:szCs w:val="24"/>
        </w:rPr>
        <w:t>Aguilar Morales</w:t>
      </w:r>
      <w:r w:rsidR="00D530F2" w:rsidRPr="008A138C">
        <w:rPr>
          <w:rFonts w:ascii="Times New Roman" w:hAnsi="Times New Roman" w:cs="Times New Roman"/>
          <w:sz w:val="24"/>
          <w:szCs w:val="24"/>
        </w:rPr>
        <w:t xml:space="preserve"> apartándose de los párrafos 207 y del 236 al 240</w:t>
      </w:r>
      <w:r w:rsidR="00DF0802" w:rsidRPr="008A138C">
        <w:rPr>
          <w:rFonts w:ascii="Times New Roman" w:hAnsi="Times New Roman" w:cs="Times New Roman"/>
          <w:sz w:val="24"/>
          <w:szCs w:val="24"/>
        </w:rPr>
        <w:t xml:space="preserve">, </w:t>
      </w:r>
      <w:r w:rsidRPr="008A138C">
        <w:rPr>
          <w:rFonts w:ascii="Times New Roman" w:hAnsi="Times New Roman" w:cs="Times New Roman"/>
          <w:sz w:val="24"/>
          <w:szCs w:val="24"/>
        </w:rPr>
        <w:t xml:space="preserve">Pardo Rebolledo, Zaldívar Lelo de Larrea, Ríos Farjat, Laynez Potisek, Pérez Dayán y Presidenta Piña Hernández </w:t>
      </w:r>
      <w:r w:rsidR="00E548FA" w:rsidRPr="008A138C">
        <w:rPr>
          <w:rFonts w:ascii="Times New Roman" w:hAnsi="Times New Roman" w:cs="Times New Roman"/>
          <w:sz w:val="24"/>
          <w:szCs w:val="24"/>
        </w:rPr>
        <w:t>separándose de los párrafos 237, 238, 239 y 272</w:t>
      </w:r>
      <w:r w:rsidRPr="008A138C">
        <w:rPr>
          <w:rFonts w:ascii="Times New Roman" w:hAnsi="Times New Roman" w:cs="Times New Roman"/>
          <w:sz w:val="24"/>
          <w:szCs w:val="24"/>
        </w:rPr>
        <w:t>.</w:t>
      </w:r>
    </w:p>
  </w:footnote>
  <w:footnote w:id="59">
    <w:p w14:paraId="6EE40126" w14:textId="6E872177" w:rsidR="00490784" w:rsidRPr="008A138C" w:rsidRDefault="00490784" w:rsidP="00490784">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273644" w:rsidRPr="008A138C">
        <w:rPr>
          <w:rFonts w:ascii="Times New Roman" w:hAnsi="Times New Roman" w:cs="Times New Roman"/>
          <w:sz w:val="24"/>
          <w:szCs w:val="24"/>
          <w:lang w:val="es-ES"/>
        </w:rPr>
        <w:t>La disposición transitoria era de la literalidad si</w:t>
      </w:r>
      <w:r w:rsidRPr="008A138C">
        <w:rPr>
          <w:rFonts w:ascii="Times New Roman" w:hAnsi="Times New Roman" w:cs="Times New Roman"/>
          <w:sz w:val="24"/>
          <w:szCs w:val="24"/>
          <w:lang w:val="es-ES"/>
        </w:rPr>
        <w:t>guiente:</w:t>
      </w:r>
      <w:r w:rsidR="00273644" w:rsidRPr="008A138C">
        <w:rPr>
          <w:rFonts w:ascii="Times New Roman" w:hAnsi="Times New Roman" w:cs="Times New Roman"/>
          <w:sz w:val="24"/>
          <w:szCs w:val="24"/>
          <w:lang w:val="es-ES"/>
        </w:rPr>
        <w:t xml:space="preserve"> </w:t>
      </w:r>
      <w:r w:rsidRPr="008A138C">
        <w:rPr>
          <w:rFonts w:ascii="Times New Roman" w:hAnsi="Times New Roman" w:cs="Times New Roman"/>
          <w:sz w:val="24"/>
          <w:szCs w:val="24"/>
          <w:lang w:val="es-ES"/>
        </w:rPr>
        <w:t>“</w:t>
      </w:r>
      <w:r w:rsidR="00273644" w:rsidRPr="008A138C">
        <w:rPr>
          <w:rFonts w:ascii="Times New Roman" w:hAnsi="Times New Roman" w:cs="Times New Roman"/>
          <w:b/>
          <w:bCs/>
          <w:sz w:val="24"/>
          <w:szCs w:val="24"/>
        </w:rPr>
        <w:t>Artículo Segundo</w:t>
      </w:r>
      <w:r w:rsidRPr="008A138C">
        <w:rPr>
          <w:rFonts w:ascii="Times New Roman" w:hAnsi="Times New Roman" w:cs="Times New Roman"/>
          <w:b/>
          <w:bCs/>
          <w:sz w:val="24"/>
          <w:szCs w:val="24"/>
        </w:rPr>
        <w:t>.</w:t>
      </w:r>
      <w:r w:rsidRPr="008A138C">
        <w:rPr>
          <w:rFonts w:ascii="Times New Roman" w:hAnsi="Times New Roman" w:cs="Times New Roman"/>
          <w:sz w:val="24"/>
          <w:szCs w:val="24"/>
        </w:rPr>
        <w:t xml:space="preserve"> Para efectos de llevar a cabo las elecciones locales y federales de manera concurrente, por única ocasión, quien resulte ser Gobernador electo del Estado de Sonora en los comicios electorales que para esos efectos se celebren al año 2027, será electo por un periodo de tres años, para que ejerza sus funciones a partir del día 13 de septiembre del año 2027 y hasta el día 12 de septiembre del año 2030”.</w:t>
      </w:r>
    </w:p>
  </w:footnote>
  <w:footnote w:id="60">
    <w:p w14:paraId="0345A0EB" w14:textId="0003A388" w:rsidR="0024142A" w:rsidRPr="008A138C" w:rsidRDefault="005F374C" w:rsidP="0024142A">
      <w:pPr>
        <w:pStyle w:val="Estilo"/>
        <w:spacing w:after="120"/>
        <w:ind w:left="284" w:hanging="284"/>
        <w:rPr>
          <w:rFonts w:ascii="Times New Roman" w:hAnsi="Times New Roman"/>
          <w:szCs w:val="24"/>
        </w:rPr>
      </w:pPr>
      <w:r w:rsidRPr="008A138C">
        <w:rPr>
          <w:rStyle w:val="Refdenotaalpie"/>
          <w:rFonts w:ascii="Times New Roman" w:hAnsi="Times New Roman"/>
          <w:szCs w:val="24"/>
        </w:rPr>
        <w:footnoteRef/>
      </w:r>
      <w:r w:rsidRPr="008A138C">
        <w:rPr>
          <w:rFonts w:ascii="Times New Roman" w:hAnsi="Times New Roman"/>
          <w:szCs w:val="24"/>
        </w:rPr>
        <w:t xml:space="preserve"> </w:t>
      </w:r>
      <w:r w:rsidRPr="008A138C">
        <w:rPr>
          <w:rFonts w:ascii="Times New Roman" w:hAnsi="Times New Roman"/>
          <w:szCs w:val="24"/>
          <w:lang w:val="es-ES"/>
        </w:rPr>
        <w:t>En el artículo octavo transitorio del decreto de reforma se estableció: “</w:t>
      </w:r>
      <w:r w:rsidR="0024142A" w:rsidRPr="008A138C">
        <w:rPr>
          <w:rFonts w:ascii="Times New Roman" w:hAnsi="Times New Roman"/>
          <w:szCs w:val="24"/>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w:t>
      </w:r>
    </w:p>
    <w:p w14:paraId="73078264" w14:textId="78AA246A" w:rsidR="0024142A" w:rsidRPr="008A138C" w:rsidRDefault="0024142A" w:rsidP="005F00DB">
      <w:pPr>
        <w:pStyle w:val="Estilo"/>
        <w:spacing w:after="120"/>
        <w:ind w:left="568" w:hanging="284"/>
        <w:rPr>
          <w:rFonts w:ascii="Times New Roman" w:hAnsi="Times New Roman"/>
          <w:szCs w:val="24"/>
        </w:rPr>
      </w:pPr>
      <w:r w:rsidRPr="008A138C">
        <w:rPr>
          <w:rFonts w:ascii="Times New Roman" w:hAnsi="Times New Roman"/>
          <w:b/>
          <w:bCs/>
          <w:szCs w:val="24"/>
        </w:rPr>
        <w:t>a)</w:t>
      </w:r>
      <w:r w:rsidRPr="008A138C">
        <w:rPr>
          <w:rFonts w:ascii="Times New Roman" w:hAnsi="Times New Roman"/>
          <w:szCs w:val="24"/>
        </w:rPr>
        <w:t xml:space="preserve"> Por única ocasión las y los diputados al Congreso del Estado que se elijan el primer domingo de junio de 2016, </w:t>
      </w:r>
      <w:r w:rsidR="009032D4" w:rsidRPr="008A138C">
        <w:rPr>
          <w:rFonts w:ascii="Times New Roman" w:hAnsi="Times New Roman"/>
          <w:szCs w:val="24"/>
        </w:rPr>
        <w:t>iniciarán</w:t>
      </w:r>
      <w:r w:rsidRPr="008A138C">
        <w:rPr>
          <w:rFonts w:ascii="Times New Roman" w:hAnsi="Times New Roman"/>
          <w:szCs w:val="24"/>
        </w:rPr>
        <w:t xml:space="preserve"> su periodo el 13 de noviembre de 2016 y concluirán el 13 de noviembre de 2018.</w:t>
      </w:r>
    </w:p>
    <w:p w14:paraId="4447820D" w14:textId="74C9B0F2" w:rsidR="005F374C" w:rsidRPr="008A138C" w:rsidRDefault="0024142A" w:rsidP="005F00DB">
      <w:pPr>
        <w:pStyle w:val="Estilo"/>
        <w:spacing w:after="120"/>
        <w:ind w:left="568" w:hanging="284"/>
        <w:rPr>
          <w:rFonts w:ascii="Times New Roman" w:hAnsi="Times New Roman"/>
          <w:szCs w:val="24"/>
        </w:rPr>
      </w:pPr>
      <w:r w:rsidRPr="008A138C">
        <w:rPr>
          <w:rFonts w:ascii="Times New Roman" w:hAnsi="Times New Roman"/>
          <w:b/>
          <w:bCs/>
          <w:szCs w:val="24"/>
        </w:rPr>
        <w:t>b)</w:t>
      </w:r>
      <w:r w:rsidRPr="008A138C">
        <w:rPr>
          <w:rFonts w:ascii="Times New Roman" w:hAnsi="Times New Roman"/>
          <w:szCs w:val="24"/>
        </w:rPr>
        <w:t xml:space="preserve"> Por única ocasión, los integrantes de los ayuntamientos electos por el sistema de partidos políticos y candidatos independientes en el proceso electoral del año 2016, </w:t>
      </w:r>
      <w:r w:rsidR="009032D4" w:rsidRPr="008A138C">
        <w:rPr>
          <w:rFonts w:ascii="Times New Roman" w:hAnsi="Times New Roman"/>
          <w:szCs w:val="24"/>
        </w:rPr>
        <w:t>iniciarán</w:t>
      </w:r>
      <w:r w:rsidRPr="008A138C">
        <w:rPr>
          <w:rFonts w:ascii="Times New Roman" w:hAnsi="Times New Roman"/>
          <w:szCs w:val="24"/>
        </w:rPr>
        <w:t xml:space="preserve"> su periodo el primero de enero de 2017 y concluirán el 31 de diciembre de 2018</w:t>
      </w:r>
      <w:r w:rsidR="005F374C" w:rsidRPr="008A138C">
        <w:rPr>
          <w:rFonts w:ascii="Times New Roman" w:hAnsi="Times New Roman"/>
          <w:szCs w:val="24"/>
          <w:lang w:val="es-ES"/>
        </w:rPr>
        <w:t>”.</w:t>
      </w:r>
    </w:p>
  </w:footnote>
  <w:footnote w:id="61">
    <w:p w14:paraId="1FFFDD02" w14:textId="262309EF" w:rsidR="00BD1F49" w:rsidRPr="008A138C" w:rsidRDefault="00E63CF6" w:rsidP="00BD1F49">
      <w:pPr>
        <w:pStyle w:val="Estilo"/>
        <w:spacing w:after="120"/>
        <w:ind w:left="284" w:hanging="284"/>
        <w:rPr>
          <w:rFonts w:ascii="Times New Roman" w:hAnsi="Times New Roman"/>
          <w:szCs w:val="24"/>
        </w:rPr>
      </w:pPr>
      <w:r w:rsidRPr="008A138C">
        <w:rPr>
          <w:rStyle w:val="Refdenotaalpie"/>
          <w:rFonts w:ascii="Times New Roman" w:hAnsi="Times New Roman"/>
          <w:szCs w:val="24"/>
        </w:rPr>
        <w:footnoteRef/>
      </w:r>
      <w:r w:rsidRPr="008A138C">
        <w:rPr>
          <w:rFonts w:ascii="Times New Roman" w:hAnsi="Times New Roman"/>
          <w:szCs w:val="24"/>
        </w:rPr>
        <w:t xml:space="preserve"> </w:t>
      </w:r>
      <w:r w:rsidR="00FE09F6" w:rsidRPr="008A138C">
        <w:rPr>
          <w:rFonts w:ascii="Times New Roman" w:hAnsi="Times New Roman"/>
          <w:b/>
          <w:bCs/>
          <w:szCs w:val="24"/>
        </w:rPr>
        <w:t>Artículo 41.</w:t>
      </w:r>
      <w:r w:rsidR="00FE09F6" w:rsidRPr="008A138C">
        <w:rPr>
          <w:rFonts w:ascii="Times New Roman" w:hAnsi="Times New Roman"/>
          <w:szCs w:val="24"/>
        </w:rPr>
        <w:t xml:space="preserve"> </w:t>
      </w:r>
      <w:r w:rsidR="00BD1F49" w:rsidRPr="008A138C">
        <w:rPr>
          <w:rFonts w:ascii="Times New Roman" w:hAnsi="Times New Roman"/>
          <w:szCs w:val="24"/>
        </w:rPr>
        <w:t>[…]</w:t>
      </w:r>
    </w:p>
    <w:p w14:paraId="4A2AEFE7" w14:textId="77777777" w:rsidR="00BD1F49" w:rsidRPr="008A138C" w:rsidRDefault="00BD1F49" w:rsidP="00BD1F49">
      <w:pPr>
        <w:pStyle w:val="Estilo"/>
        <w:spacing w:after="120"/>
        <w:ind w:left="284" w:hanging="284"/>
        <w:rPr>
          <w:rFonts w:ascii="Times New Roman" w:hAnsi="Times New Roman"/>
          <w:szCs w:val="24"/>
        </w:rPr>
      </w:pPr>
      <w:r w:rsidRPr="008A138C">
        <w:rPr>
          <w:rFonts w:ascii="Times New Roman" w:hAnsi="Times New Roman"/>
          <w:szCs w:val="24"/>
        </w:rPr>
        <w:t>La renovación de los poderes Legislativo y Ejecutivo se realizará mediante elecciones libres, auténticas y periódicas, conforme a las siguientes bases:</w:t>
      </w:r>
    </w:p>
    <w:p w14:paraId="1EF50BD9" w14:textId="36C06136" w:rsidR="00BD1F49" w:rsidRPr="008A138C" w:rsidRDefault="00BD1F49" w:rsidP="00BD1F49">
      <w:pPr>
        <w:pStyle w:val="Estilo"/>
        <w:spacing w:after="120"/>
        <w:ind w:left="568" w:hanging="284"/>
        <w:rPr>
          <w:rFonts w:ascii="Times New Roman" w:hAnsi="Times New Roman"/>
          <w:szCs w:val="24"/>
        </w:rPr>
      </w:pPr>
      <w:r w:rsidRPr="008A138C">
        <w:rPr>
          <w:rFonts w:ascii="Times New Roman" w:hAnsi="Times New Roman"/>
          <w:b/>
          <w:bCs/>
          <w:szCs w:val="24"/>
        </w:rPr>
        <w:t>I.</w:t>
      </w:r>
      <w:r w:rsidRPr="008A138C">
        <w:rPr>
          <w:rFonts w:ascii="Times New Roman" w:hAnsi="Times New Roman"/>
          <w:szCs w:val="24"/>
        </w:rPr>
        <w:t xml:space="preserve"> </w:t>
      </w:r>
      <w:r w:rsidR="00F64F89" w:rsidRPr="008A138C">
        <w:rPr>
          <w:rFonts w:ascii="Times New Roman" w:hAnsi="Times New Roman"/>
          <w:szCs w:val="24"/>
        </w:rPr>
        <w:t>[…]</w:t>
      </w:r>
      <w:r w:rsidRPr="008A138C">
        <w:rPr>
          <w:rFonts w:ascii="Times New Roman" w:hAnsi="Times New Roman"/>
          <w:szCs w:val="24"/>
        </w:rPr>
        <w:t>.</w:t>
      </w:r>
    </w:p>
    <w:p w14:paraId="65E82D0E" w14:textId="42A4E07C" w:rsidR="00E65293" w:rsidRPr="008A138C" w:rsidRDefault="00BD1F49" w:rsidP="00BD1F49">
      <w:pPr>
        <w:pStyle w:val="Estilo"/>
        <w:spacing w:after="120"/>
        <w:ind w:left="568" w:hanging="284"/>
        <w:rPr>
          <w:rFonts w:ascii="Times New Roman" w:hAnsi="Times New Roman"/>
          <w:szCs w:val="24"/>
        </w:rPr>
      </w:pPr>
      <w:r w:rsidRPr="008A138C">
        <w:rPr>
          <w:rFonts w:ascii="Times New Roman" w:hAnsi="Times New Roman"/>
          <w:szCs w:val="24"/>
        </w:rPr>
        <w:t xml:space="preserve">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w:t>
      </w:r>
      <w:r w:rsidRPr="008A138C">
        <w:rPr>
          <w:rFonts w:ascii="Times New Roman" w:hAnsi="Times New Roman"/>
          <w:b/>
          <w:bCs/>
          <w:szCs w:val="24"/>
        </w:rPr>
        <w:t>así como las reglas para garantizar la paridad entre los géneros, en candidaturas a legisladores federales y locales</w:t>
      </w:r>
      <w:r w:rsidRPr="008A138C">
        <w:rPr>
          <w:rFonts w:ascii="Times New Roman" w:hAnsi="Times New Roman"/>
          <w:szCs w:val="24"/>
        </w:rPr>
        <w:t>. Sólo los ciudadanos podrán formar partidos políticos y afiliarse libre e individualmente a ellos; por tanto, quedan prohibidas la intervención de organizaciones gremiales o con objeto social diferente en la creación de partidos y cualquier forma de afiliación corporativa.</w:t>
      </w:r>
    </w:p>
  </w:footnote>
  <w:footnote w:id="62">
    <w:p w14:paraId="4181B57A" w14:textId="74E596C8" w:rsidR="0030585A" w:rsidRPr="008A138C" w:rsidRDefault="0030585A" w:rsidP="0030585A">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El cual tiene sustento en los artículos 1o., párrafo quinto, y 4o. de la Constitución Política de los Estados Unidos Mexicanos.</w:t>
      </w:r>
    </w:p>
  </w:footnote>
  <w:footnote w:id="63">
    <w:p w14:paraId="5DA2DB51" w14:textId="6CC3DADC" w:rsidR="001B31A1" w:rsidRPr="008A138C" w:rsidRDefault="001B31A1" w:rsidP="00030DAF">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73036E" w:rsidRPr="008A138C">
        <w:rPr>
          <w:rFonts w:ascii="Times New Roman" w:hAnsi="Times New Roman" w:cs="Times New Roman"/>
          <w:sz w:val="24"/>
          <w:szCs w:val="24"/>
          <w:lang w:val="es-ES"/>
        </w:rPr>
        <w:t>Véase</w:t>
      </w:r>
      <w:r w:rsidRPr="008A138C">
        <w:rPr>
          <w:rFonts w:ascii="Times New Roman" w:hAnsi="Times New Roman" w:cs="Times New Roman"/>
          <w:sz w:val="24"/>
          <w:szCs w:val="24"/>
          <w:lang w:val="es-ES"/>
        </w:rPr>
        <w:t xml:space="preserve"> la </w:t>
      </w:r>
      <w:r w:rsidRPr="008A138C">
        <w:rPr>
          <w:rFonts w:ascii="Times New Roman" w:hAnsi="Times New Roman" w:cs="Times New Roman"/>
          <w:b/>
          <w:bCs/>
          <w:sz w:val="24"/>
          <w:szCs w:val="24"/>
          <w:lang w:val="es-ES"/>
        </w:rPr>
        <w:t>contradicción de tesis 275/2015</w:t>
      </w:r>
      <w:r w:rsidRPr="008A138C">
        <w:rPr>
          <w:rFonts w:ascii="Times New Roman" w:hAnsi="Times New Roman" w:cs="Times New Roman"/>
          <w:sz w:val="24"/>
          <w:szCs w:val="24"/>
          <w:lang w:val="es-ES"/>
        </w:rPr>
        <w:t xml:space="preserve">, resuelta el cuatro de junio de dos mil diecinueve, </w:t>
      </w:r>
      <w:r w:rsidR="00723D64" w:rsidRPr="008A138C">
        <w:rPr>
          <w:rFonts w:ascii="Times New Roman" w:hAnsi="Times New Roman" w:cs="Times New Roman"/>
          <w:sz w:val="24"/>
          <w:szCs w:val="24"/>
          <w:lang w:val="es-ES"/>
        </w:rPr>
        <w:t>aprobada</w:t>
      </w:r>
      <w:r w:rsidR="001C082B" w:rsidRPr="008A138C">
        <w:rPr>
          <w:rFonts w:ascii="Times New Roman" w:hAnsi="Times New Roman" w:cs="Times New Roman"/>
          <w:sz w:val="24"/>
          <w:szCs w:val="24"/>
          <w:lang w:val="es-ES"/>
        </w:rPr>
        <w:t xml:space="preserve"> en cuanto </w:t>
      </w:r>
      <w:r w:rsidR="00351FDD" w:rsidRPr="008A138C">
        <w:rPr>
          <w:rFonts w:ascii="Times New Roman" w:hAnsi="Times New Roman" w:cs="Times New Roman"/>
          <w:sz w:val="24"/>
          <w:szCs w:val="24"/>
          <w:lang w:val="es-ES"/>
        </w:rPr>
        <w:t>a la justificación del criterio que debe prevalecer con carácter de jurisprudencia</w:t>
      </w:r>
      <w:r w:rsidR="00723D64" w:rsidRPr="008A138C">
        <w:rPr>
          <w:rFonts w:ascii="Times New Roman" w:hAnsi="Times New Roman" w:cs="Times New Roman"/>
          <w:sz w:val="24"/>
          <w:szCs w:val="24"/>
          <w:lang w:val="es-ES"/>
        </w:rPr>
        <w:t xml:space="preserve"> por mayoría de ocho votos</w:t>
      </w:r>
      <w:r w:rsidR="00351FDD" w:rsidRPr="008A138C">
        <w:rPr>
          <w:rFonts w:ascii="Times New Roman" w:hAnsi="Times New Roman" w:cs="Times New Roman"/>
          <w:sz w:val="24"/>
          <w:szCs w:val="24"/>
          <w:lang w:val="es-ES"/>
        </w:rPr>
        <w:t>,</w:t>
      </w:r>
      <w:r w:rsidR="00723D64" w:rsidRPr="008A138C">
        <w:rPr>
          <w:rFonts w:ascii="Times New Roman" w:hAnsi="Times New Roman" w:cs="Times New Roman"/>
          <w:sz w:val="24"/>
          <w:szCs w:val="24"/>
          <w:lang w:val="es-ES"/>
        </w:rPr>
        <w:t xml:space="preserve"> de las señoras Ministras y los señores Ministros </w:t>
      </w:r>
      <w:r w:rsidR="00351FDD" w:rsidRPr="008A138C">
        <w:rPr>
          <w:rFonts w:ascii="Times New Roman" w:hAnsi="Times New Roman" w:cs="Times New Roman"/>
          <w:sz w:val="24"/>
          <w:szCs w:val="24"/>
          <w:lang w:val="es-ES"/>
        </w:rPr>
        <w:t>Gutiérrez Ortiz Mena, González Alcántara Carrancá, Esquivel Mossa, Aguilar Morales, Pardo Rebolledo, Piña Hernández, Laynez Potisek</w:t>
      </w:r>
      <w:r w:rsidR="0056295C" w:rsidRPr="008A138C">
        <w:rPr>
          <w:rFonts w:ascii="Times New Roman" w:hAnsi="Times New Roman" w:cs="Times New Roman"/>
          <w:sz w:val="24"/>
          <w:szCs w:val="24"/>
          <w:lang w:val="es-ES"/>
        </w:rPr>
        <w:t xml:space="preserve"> (ponente)</w:t>
      </w:r>
      <w:r w:rsidR="00351FDD" w:rsidRPr="008A138C">
        <w:rPr>
          <w:rFonts w:ascii="Times New Roman" w:hAnsi="Times New Roman" w:cs="Times New Roman"/>
          <w:sz w:val="24"/>
          <w:szCs w:val="24"/>
          <w:lang w:val="es-ES"/>
        </w:rPr>
        <w:t xml:space="preserve"> y Presidente Zaldívar Lelo de Larrea</w:t>
      </w:r>
      <w:r w:rsidR="00723D64" w:rsidRPr="008A138C">
        <w:rPr>
          <w:rFonts w:ascii="Times New Roman" w:hAnsi="Times New Roman" w:cs="Times New Roman"/>
          <w:sz w:val="24"/>
          <w:szCs w:val="24"/>
          <w:lang w:val="es-ES"/>
        </w:rPr>
        <w:t>.</w:t>
      </w:r>
      <w:r w:rsidR="00030DAF" w:rsidRPr="008A138C">
        <w:rPr>
          <w:rFonts w:ascii="Times New Roman" w:hAnsi="Times New Roman" w:cs="Times New Roman"/>
          <w:sz w:val="24"/>
          <w:szCs w:val="24"/>
          <w:lang w:val="es-ES"/>
        </w:rPr>
        <w:t xml:space="preserve"> El Ministro Medina Mora I. votó en contra.</w:t>
      </w:r>
    </w:p>
  </w:footnote>
  <w:footnote w:id="64">
    <w:p w14:paraId="561499E2" w14:textId="5ABA7F48" w:rsidR="00F16C5E" w:rsidRPr="008A138C" w:rsidRDefault="00F16C5E" w:rsidP="00A64979">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 xml:space="preserve">De conformidad con la Jurisprudencia </w:t>
      </w:r>
      <w:r w:rsidR="008A27C3" w:rsidRPr="008A138C">
        <w:rPr>
          <w:rFonts w:ascii="Times New Roman" w:hAnsi="Times New Roman" w:cs="Times New Roman"/>
          <w:sz w:val="24"/>
          <w:szCs w:val="24"/>
        </w:rPr>
        <w:t>P./J. 11/2019 (10a.)</w:t>
      </w:r>
      <w:r w:rsidR="008A27C3" w:rsidRPr="008A138C">
        <w:rPr>
          <w:rFonts w:ascii="Times New Roman" w:hAnsi="Times New Roman" w:cs="Times New Roman"/>
          <w:sz w:val="24"/>
          <w:szCs w:val="24"/>
          <w:lang w:val="es-ES"/>
        </w:rPr>
        <w:t>, de rubro “</w:t>
      </w:r>
      <w:r w:rsidR="008A27C3" w:rsidRPr="008A138C">
        <w:rPr>
          <w:rFonts w:ascii="Times New Roman" w:hAnsi="Times New Roman" w:cs="Times New Roman"/>
          <w:b/>
          <w:bCs/>
          <w:sz w:val="24"/>
          <w:szCs w:val="24"/>
        </w:rPr>
        <w:t>PARIDAD DE GÉNERO. EL PRINCIPIO PREVISTO EN EL ARTÍCULO 41, FRACCIÓN I, PÁRRAFO SEGUNDO, DE LA CONSTITUCIÓN FEDERAL, TRASCIENDE A LA INTEGRACIÓN DE LOS ÓRGANOS LEGISLATIVOS DE LAS ENTIDADES FEDERATIVAS</w:t>
      </w:r>
      <w:r w:rsidR="008A27C3" w:rsidRPr="008A138C">
        <w:rPr>
          <w:rFonts w:ascii="Times New Roman" w:hAnsi="Times New Roman" w:cs="Times New Roman"/>
          <w:sz w:val="24"/>
          <w:szCs w:val="24"/>
          <w:lang w:val="es-ES"/>
        </w:rPr>
        <w:t xml:space="preserve">”. </w:t>
      </w:r>
      <w:r w:rsidR="008A27C3" w:rsidRPr="008A138C">
        <w:rPr>
          <w:rFonts w:ascii="Times New Roman" w:hAnsi="Times New Roman" w:cs="Times New Roman"/>
          <w:sz w:val="24"/>
          <w:szCs w:val="24"/>
        </w:rPr>
        <w:t xml:space="preserve">Gaceta del Semanario Judicial de la Federación, Libro 71, octubre de 2019, Tomo I, página 5, registro digital </w:t>
      </w:r>
      <w:r w:rsidR="00A64979" w:rsidRPr="008A138C">
        <w:rPr>
          <w:rFonts w:ascii="Times New Roman" w:hAnsi="Times New Roman" w:cs="Times New Roman"/>
          <w:sz w:val="24"/>
          <w:szCs w:val="24"/>
        </w:rPr>
        <w:t>2020747</w:t>
      </w:r>
      <w:r w:rsidR="008A27C3" w:rsidRPr="008A138C">
        <w:rPr>
          <w:rFonts w:ascii="Times New Roman" w:hAnsi="Times New Roman" w:cs="Times New Roman"/>
          <w:sz w:val="24"/>
          <w:szCs w:val="24"/>
        </w:rPr>
        <w:t>.</w:t>
      </w:r>
    </w:p>
  </w:footnote>
  <w:footnote w:id="65">
    <w:p w14:paraId="4C01C61D" w14:textId="530E8ACD" w:rsidR="008B6F7F" w:rsidRPr="008A138C" w:rsidRDefault="008B6F7F" w:rsidP="002718F9">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56295C" w:rsidRPr="008A138C">
        <w:rPr>
          <w:rFonts w:ascii="Times New Roman" w:hAnsi="Times New Roman" w:cs="Times New Roman"/>
          <w:sz w:val="24"/>
          <w:szCs w:val="24"/>
        </w:rPr>
        <w:t xml:space="preserve">Bajo la ponencia del Ministro Pérez Dayán, aprobado en lo relativo al criterio jurisprudencial adoptado por unanimidad de nueve votos de las señoras Ministras y los señores Ministros </w:t>
      </w:r>
      <w:r w:rsidR="002718F9" w:rsidRPr="008A138C">
        <w:rPr>
          <w:rFonts w:ascii="Times New Roman" w:hAnsi="Times New Roman" w:cs="Times New Roman"/>
          <w:sz w:val="24"/>
          <w:szCs w:val="24"/>
        </w:rPr>
        <w:t>González Alcántara Carrancá, Esquivel Mossa, Aguilar Morales con razones adicionales, Pardo Rebolledo con salvedades, Piña Hernández apartándose de consideraciones, Laynez Potisek, Pérez Dayán y Presidente Zaldívar Lelo de Larrea. El Ministro Gutiérrez Ortiz Mena votó en contra.</w:t>
      </w:r>
    </w:p>
  </w:footnote>
  <w:footnote w:id="66">
    <w:p w14:paraId="47CB9263" w14:textId="105805ED" w:rsidR="004351EA" w:rsidRPr="008A138C" w:rsidRDefault="004351EA" w:rsidP="004351EA">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Los artículos II y III, de la Convención sobre los Derechos Políticos de la Mujer; 2 de la Convención sobre la Eliminación de todas las Formas de Discriminación contra la Mujer; 25 y 26 del Pacto Internacional de Derechos Civiles y Políticos; y 4, 5 y 6 de la Convención Interamericana para Prevenir, Sancionar y Erradicar la Violencia contra la Mujer.</w:t>
      </w:r>
    </w:p>
  </w:footnote>
  <w:footnote w:id="67">
    <w:p w14:paraId="05DAF04E" w14:textId="403C6CA1" w:rsidR="00CF153F" w:rsidRPr="008A138C" w:rsidRDefault="00CF153F" w:rsidP="009C2185">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 xml:space="preserve">En términos de la Jurisprudencia </w:t>
      </w:r>
      <w:r w:rsidR="00FC6753" w:rsidRPr="008A138C">
        <w:rPr>
          <w:rFonts w:ascii="Times New Roman" w:hAnsi="Times New Roman" w:cs="Times New Roman"/>
          <w:sz w:val="24"/>
          <w:szCs w:val="24"/>
        </w:rPr>
        <w:t>P./J. 1/2020 (10a.), de rubro “</w:t>
      </w:r>
      <w:r w:rsidR="00FC6753" w:rsidRPr="008A138C">
        <w:rPr>
          <w:rFonts w:ascii="Times New Roman" w:hAnsi="Times New Roman" w:cs="Times New Roman"/>
          <w:b/>
          <w:bCs/>
          <w:sz w:val="24"/>
          <w:szCs w:val="24"/>
        </w:rPr>
        <w:t>PARIDAD DE GÉNERO. EXISTE MANDATO CONSTITUCIONAL Y CONVENCIONAL PARA GARANTIZARLA EN LA INTEGRACIÓN DE LOS AYUNTAMIENTOS, TANTO EN SU VERTIENTE VERTICAL COMO EN LA HORIZONTAL</w:t>
      </w:r>
      <w:r w:rsidR="00FC6753" w:rsidRPr="008A138C">
        <w:rPr>
          <w:rFonts w:ascii="Times New Roman" w:hAnsi="Times New Roman" w:cs="Times New Roman"/>
          <w:sz w:val="24"/>
          <w:szCs w:val="24"/>
        </w:rPr>
        <w:t xml:space="preserve">”. Gaceta del Semanario Judicial de la Federación, Libro 79, </w:t>
      </w:r>
      <w:r w:rsidR="009C2185" w:rsidRPr="008A138C">
        <w:rPr>
          <w:rFonts w:ascii="Times New Roman" w:hAnsi="Times New Roman" w:cs="Times New Roman"/>
          <w:sz w:val="24"/>
          <w:szCs w:val="24"/>
        </w:rPr>
        <w:t>o</w:t>
      </w:r>
      <w:r w:rsidR="00FC6753" w:rsidRPr="008A138C">
        <w:rPr>
          <w:rFonts w:ascii="Times New Roman" w:hAnsi="Times New Roman" w:cs="Times New Roman"/>
          <w:sz w:val="24"/>
          <w:szCs w:val="24"/>
        </w:rPr>
        <w:t xml:space="preserve">ctubre de 2020, Tomo I, página 15, registro digital </w:t>
      </w:r>
      <w:r w:rsidR="009C2185" w:rsidRPr="008A138C">
        <w:rPr>
          <w:rFonts w:ascii="Times New Roman" w:hAnsi="Times New Roman" w:cs="Times New Roman"/>
          <w:sz w:val="24"/>
          <w:szCs w:val="24"/>
        </w:rPr>
        <w:t>2022213</w:t>
      </w:r>
      <w:r w:rsidR="00FC6753" w:rsidRPr="008A138C">
        <w:rPr>
          <w:rFonts w:ascii="Times New Roman" w:hAnsi="Times New Roman" w:cs="Times New Roman"/>
          <w:sz w:val="24"/>
          <w:szCs w:val="24"/>
        </w:rPr>
        <w:t>.</w:t>
      </w:r>
    </w:p>
  </w:footnote>
  <w:footnote w:id="68">
    <w:p w14:paraId="0EE30653" w14:textId="42AB6D8E" w:rsidR="00BB0F7C" w:rsidRPr="008A138C" w:rsidRDefault="00BB0F7C" w:rsidP="00B874D7">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4212A2" w:rsidRPr="008A138C">
        <w:rPr>
          <w:rFonts w:ascii="Times New Roman" w:hAnsi="Times New Roman" w:cs="Times New Roman"/>
          <w:sz w:val="24"/>
          <w:szCs w:val="24"/>
        </w:rPr>
        <w:t>Resuelto en la sesión correspondiente al siete de septiembre de dos mil veinte, bajo la ponencia del señor Ministro Gutiérrez Ortiz Mena.</w:t>
      </w:r>
    </w:p>
  </w:footnote>
  <w:footnote w:id="69">
    <w:p w14:paraId="18007051" w14:textId="2F5B6E44" w:rsidR="007E7081" w:rsidRPr="008A138C" w:rsidRDefault="007E7081" w:rsidP="00495F78">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CB6309" w:rsidRPr="008A138C">
        <w:rPr>
          <w:rFonts w:ascii="Times New Roman" w:hAnsi="Times New Roman" w:cs="Times New Roman"/>
          <w:sz w:val="24"/>
          <w:szCs w:val="24"/>
        </w:rPr>
        <w:t xml:space="preserve">El cual se ha retomado en </w:t>
      </w:r>
      <w:r w:rsidR="00FD7377" w:rsidRPr="008A138C">
        <w:rPr>
          <w:rFonts w:ascii="Times New Roman" w:hAnsi="Times New Roman" w:cs="Times New Roman"/>
          <w:sz w:val="24"/>
          <w:szCs w:val="24"/>
        </w:rPr>
        <w:t xml:space="preserve">una diversidad de precedentes, como </w:t>
      </w:r>
      <w:r w:rsidR="00FD7377" w:rsidRPr="008A138C">
        <w:rPr>
          <w:rFonts w:ascii="Times New Roman" w:hAnsi="Times New Roman" w:cs="Times New Roman"/>
          <w:b/>
          <w:bCs/>
          <w:sz w:val="24"/>
          <w:szCs w:val="24"/>
        </w:rPr>
        <w:t>la acción de inconstitucionalidad 245/2020 y su acumulada 250/2020</w:t>
      </w:r>
      <w:r w:rsidR="00FD7377" w:rsidRPr="008A138C">
        <w:rPr>
          <w:rFonts w:ascii="Times New Roman" w:hAnsi="Times New Roman" w:cs="Times New Roman"/>
          <w:sz w:val="24"/>
          <w:szCs w:val="24"/>
        </w:rPr>
        <w:t xml:space="preserve">, </w:t>
      </w:r>
      <w:r w:rsidR="00495F78" w:rsidRPr="008A138C">
        <w:rPr>
          <w:rFonts w:ascii="Times New Roman" w:hAnsi="Times New Roman" w:cs="Times New Roman"/>
          <w:sz w:val="24"/>
          <w:szCs w:val="24"/>
        </w:rPr>
        <w:t>resuelta el diez de noviembre de dos mil veinte, bajo la ponencia de la señora Ministra Ríos Farjat.</w:t>
      </w:r>
    </w:p>
  </w:footnote>
  <w:footnote w:id="70">
    <w:p w14:paraId="0CF3E8EE" w14:textId="25D40F63" w:rsidR="00CA72E2" w:rsidRPr="008A138C" w:rsidRDefault="00CA72E2" w:rsidP="006D49D3">
      <w:pPr>
        <w:pStyle w:val="Textonotapie"/>
        <w:spacing w:after="120"/>
        <w:ind w:left="284" w:hanging="284"/>
        <w:rPr>
          <w:rFonts w:ascii="Times New Roman" w:hAnsi="Times New Roman" w:cs="Times New Roman"/>
          <w:sz w:val="24"/>
          <w:szCs w:val="24"/>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6D49D3" w:rsidRPr="008A138C">
        <w:rPr>
          <w:rFonts w:ascii="Times New Roman" w:hAnsi="Times New Roman" w:cs="Times New Roman"/>
          <w:sz w:val="24"/>
          <w:szCs w:val="24"/>
        </w:rPr>
        <w:t>Aprobado por mayoría de nueve votos de las Ministras y los Ministros Gutiérrez Ortiz Mena, González Alcántara Carrancá en contra de la interpretación conforme, Esquivel Mossa, Aguilar Morales, Pardo Rebolledo, Piña Hernández, Ríos Farjat apartándose de las consideraciones, Pérez Dayán con precisiones en cuanto a la interpretación conforme y Presidente Zaldívar Lelo de Larrea. Los Ministros Franco González Salas y Laynez Potisek votaron en contra.</w:t>
      </w:r>
    </w:p>
    <w:p w14:paraId="0B40FE0F" w14:textId="5DFC1256" w:rsidR="00494851" w:rsidRPr="008A138C" w:rsidRDefault="00494851" w:rsidP="006D49D3">
      <w:pPr>
        <w:pStyle w:val="Textonotapie"/>
        <w:spacing w:after="120"/>
        <w:ind w:left="284" w:hanging="284"/>
        <w:rPr>
          <w:rFonts w:ascii="Times New Roman" w:hAnsi="Times New Roman" w:cs="Times New Roman"/>
          <w:sz w:val="24"/>
          <w:szCs w:val="24"/>
          <w:lang w:val="es-ES"/>
        </w:rPr>
      </w:pPr>
      <w:r w:rsidRPr="008A138C">
        <w:rPr>
          <w:rFonts w:ascii="Times New Roman" w:hAnsi="Times New Roman" w:cs="Times New Roman"/>
          <w:sz w:val="24"/>
          <w:szCs w:val="24"/>
        </w:rPr>
        <w:t xml:space="preserve">Dicho criterio </w:t>
      </w:r>
      <w:r w:rsidR="00B1141F" w:rsidRPr="008A138C">
        <w:rPr>
          <w:rFonts w:ascii="Times New Roman" w:hAnsi="Times New Roman" w:cs="Times New Roman"/>
          <w:sz w:val="24"/>
          <w:szCs w:val="24"/>
        </w:rPr>
        <w:t xml:space="preserve">se reiteró al resolver la </w:t>
      </w:r>
      <w:r w:rsidR="00B1141F" w:rsidRPr="008A138C">
        <w:rPr>
          <w:rFonts w:ascii="Times New Roman" w:hAnsi="Times New Roman" w:cs="Times New Roman"/>
          <w:b/>
          <w:bCs/>
          <w:sz w:val="24"/>
          <w:szCs w:val="24"/>
        </w:rPr>
        <w:t>acción de inconstitucionalidad 132/2020</w:t>
      </w:r>
      <w:r w:rsidR="00B1141F" w:rsidRPr="008A138C">
        <w:rPr>
          <w:rFonts w:ascii="Times New Roman" w:hAnsi="Times New Roman" w:cs="Times New Roman"/>
          <w:sz w:val="24"/>
          <w:szCs w:val="24"/>
        </w:rPr>
        <w:t xml:space="preserve">, </w:t>
      </w:r>
      <w:r w:rsidR="00097728" w:rsidRPr="008A138C">
        <w:rPr>
          <w:rFonts w:ascii="Times New Roman" w:hAnsi="Times New Roman" w:cs="Times New Roman"/>
          <w:sz w:val="24"/>
          <w:szCs w:val="24"/>
        </w:rPr>
        <w:t xml:space="preserve">en la sesión de veintiuno de septiembre de dos mil veinte, </w:t>
      </w:r>
      <w:r w:rsidR="00E37257" w:rsidRPr="008A138C">
        <w:rPr>
          <w:rFonts w:ascii="Times New Roman" w:hAnsi="Times New Roman" w:cs="Times New Roman"/>
          <w:sz w:val="24"/>
          <w:szCs w:val="24"/>
        </w:rPr>
        <w:t>aprobado en este punto por mayoría de nueve votos de las señoras Ministras y los señores Ministros Gutiérrez Ortiz Mena, González Alcántara Carrancá en contra de la interpretación conforme, Aguilar Morales, Pardo Rebolledo, Piña Hernández apartándose de las consideraciones, Ríos Farjat, Laynez Potisek apartándose de la interpretación conforme, Pérez Dayán con reserva de criterio y Presidente Zaldívar Lelo de Larrea.</w:t>
      </w:r>
    </w:p>
  </w:footnote>
  <w:footnote w:id="71">
    <w:p w14:paraId="69CDAEAF" w14:textId="75207545" w:rsidR="006372FB" w:rsidRPr="008A138C" w:rsidRDefault="006372FB" w:rsidP="006372FB">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sz w:val="24"/>
          <w:szCs w:val="24"/>
          <w:lang w:val="es-ES"/>
        </w:rPr>
        <w:t>Resuelta el dieciséis de noviembre de dos mil veintitrés, bajo la ponencia del Ministro Pardo Rebolledo.</w:t>
      </w:r>
    </w:p>
  </w:footnote>
  <w:footnote w:id="72">
    <w:p w14:paraId="27CD5DF8" w14:textId="00809694" w:rsidR="003407A9" w:rsidRPr="002210B3" w:rsidRDefault="003407A9" w:rsidP="00E30DE3">
      <w:pPr>
        <w:pStyle w:val="Textonotapie"/>
        <w:spacing w:after="120"/>
        <w:ind w:left="284" w:hanging="284"/>
        <w:rPr>
          <w:rFonts w:ascii="Times New Roman" w:hAnsi="Times New Roman" w:cs="Times New Roman"/>
          <w:sz w:val="24"/>
          <w:szCs w:val="24"/>
          <w:lang w:val="es-ES"/>
        </w:rPr>
      </w:pPr>
      <w:r w:rsidRPr="002210B3">
        <w:rPr>
          <w:rStyle w:val="Refdenotaalpie"/>
          <w:rFonts w:ascii="Times New Roman" w:hAnsi="Times New Roman" w:cs="Times New Roman"/>
          <w:sz w:val="24"/>
          <w:szCs w:val="24"/>
        </w:rPr>
        <w:footnoteRef/>
      </w:r>
      <w:r w:rsidRPr="002210B3">
        <w:rPr>
          <w:rFonts w:ascii="Times New Roman" w:hAnsi="Times New Roman" w:cs="Times New Roman"/>
          <w:sz w:val="24"/>
          <w:szCs w:val="24"/>
        </w:rPr>
        <w:t xml:space="preserve"> </w:t>
      </w:r>
      <w:r w:rsidR="002210B3" w:rsidRPr="002210B3">
        <w:rPr>
          <w:rFonts w:ascii="Times New Roman" w:hAnsi="Times New Roman" w:cs="Times New Roman"/>
          <w:sz w:val="24"/>
          <w:szCs w:val="24"/>
        </w:rPr>
        <w:t>Dicha decisión se aprobó</w:t>
      </w:r>
      <w:r w:rsidR="00653A11">
        <w:rPr>
          <w:rFonts w:ascii="Times New Roman" w:hAnsi="Times New Roman" w:cs="Times New Roman"/>
          <w:sz w:val="24"/>
          <w:szCs w:val="24"/>
        </w:rPr>
        <w:t xml:space="preserve"> por</w:t>
      </w:r>
      <w:r w:rsidR="002210B3" w:rsidRPr="002210B3">
        <w:rPr>
          <w:rFonts w:ascii="Times New Roman" w:hAnsi="Times New Roman" w:cs="Times New Roman"/>
          <w:sz w:val="24"/>
          <w:szCs w:val="24"/>
        </w:rPr>
        <w:t xml:space="preserve"> los señores Ministros Gutiérrez Ortiz Mena, Aguilar Morales, Pardo Rebolledo, Laynez Potisek y Pérez Dayán; con los votos en contra de las señoras Ministras Esquivel Mossa, Ortiz Ahlf y Piña Hernández y del señor Ministro González Alcántara Carrancá. </w:t>
      </w:r>
      <w:r w:rsidR="00E30DE3" w:rsidRPr="002210B3">
        <w:rPr>
          <w:rFonts w:ascii="Times New Roman" w:hAnsi="Times New Roman" w:cs="Times New Roman"/>
          <w:sz w:val="24"/>
          <w:szCs w:val="24"/>
          <w:lang w:val="es-ES"/>
        </w:rPr>
        <w:t>Con la ausencia justificada de la señora Ministra Ríos Farjat.</w:t>
      </w:r>
    </w:p>
  </w:footnote>
  <w:footnote w:id="73">
    <w:p w14:paraId="1F036DD5" w14:textId="6084868E" w:rsidR="007813CE" w:rsidRPr="008A138C" w:rsidRDefault="007813CE" w:rsidP="00F74905">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Pr="008A138C">
        <w:rPr>
          <w:rFonts w:ascii="Times New Roman" w:hAnsi="Times New Roman" w:cs="Times New Roman"/>
          <w:b/>
          <w:bCs/>
          <w:sz w:val="24"/>
          <w:szCs w:val="24"/>
          <w:lang w:val="es-ES"/>
        </w:rPr>
        <w:t>Artículo 237 Bis.</w:t>
      </w:r>
    </w:p>
    <w:p w14:paraId="247AAB32" w14:textId="271BED85" w:rsidR="007813CE" w:rsidRPr="008A138C" w:rsidRDefault="00F74905" w:rsidP="00F74905">
      <w:pPr>
        <w:pStyle w:val="Textonotapie"/>
        <w:spacing w:after="120"/>
        <w:ind w:left="284" w:hanging="284"/>
        <w:rPr>
          <w:rFonts w:ascii="Times New Roman" w:hAnsi="Times New Roman" w:cs="Times New Roman"/>
          <w:sz w:val="24"/>
          <w:szCs w:val="24"/>
          <w:lang w:val="es-ES"/>
        </w:rPr>
      </w:pPr>
      <w:r w:rsidRPr="008A138C">
        <w:rPr>
          <w:rFonts w:ascii="Times New Roman" w:hAnsi="Times New Roman" w:cs="Times New Roman"/>
          <w:b/>
          <w:bCs/>
          <w:sz w:val="24"/>
          <w:szCs w:val="24"/>
          <w:lang w:val="es-ES"/>
        </w:rPr>
        <w:t>1.</w:t>
      </w:r>
      <w:r w:rsidRPr="008A138C">
        <w:rPr>
          <w:rFonts w:ascii="Times New Roman" w:hAnsi="Times New Roman" w:cs="Times New Roman"/>
          <w:sz w:val="24"/>
          <w:szCs w:val="24"/>
          <w:lang w:val="es-ES"/>
        </w:rPr>
        <w:t xml:space="preserve"> En el caso de la postulación de candidaturas a la Gubernatura del Estado, los partidos políticos nacionales, en ejercicio de su autodeterminación, garantizarán que se observe el principio de paridad, en los términos que establezca la autoridad competente. En el caso de los partidos políticos locales deberán de observar la postulación alternada entre los géneros.</w:t>
      </w:r>
    </w:p>
  </w:footnote>
  <w:footnote w:id="74">
    <w:p w14:paraId="1D50EAEA" w14:textId="14B7C360" w:rsidR="008C751F" w:rsidRPr="008A138C" w:rsidRDefault="008C751F" w:rsidP="00240406">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5649BB" w:rsidRPr="008A138C">
        <w:rPr>
          <w:rFonts w:ascii="Times New Roman" w:hAnsi="Times New Roman" w:cs="Times New Roman"/>
          <w:sz w:val="24"/>
          <w:szCs w:val="24"/>
          <w:lang w:val="es-ES"/>
        </w:rPr>
        <w:t>A partir de la invalidación parcial, la formulación de la disposición sería la siguiente: “</w:t>
      </w:r>
      <w:r w:rsidR="00240406" w:rsidRPr="008A138C">
        <w:rPr>
          <w:rFonts w:ascii="Times New Roman" w:hAnsi="Times New Roman" w:cs="Times New Roman"/>
          <w:b/>
          <w:bCs/>
          <w:sz w:val="24"/>
          <w:szCs w:val="24"/>
          <w:lang w:val="es-ES"/>
        </w:rPr>
        <w:t>Artículo 237 Bis. 1.</w:t>
      </w:r>
      <w:r w:rsidR="00240406" w:rsidRPr="008A138C">
        <w:rPr>
          <w:rFonts w:ascii="Times New Roman" w:hAnsi="Times New Roman" w:cs="Times New Roman"/>
          <w:sz w:val="24"/>
          <w:szCs w:val="24"/>
          <w:lang w:val="es-ES"/>
        </w:rPr>
        <w:t xml:space="preserve"> En el caso de la postulación de candidaturas a la Gubernatura del Estado, los partidos políticos locales deberán de observar la postulación alternada entre los géneros.</w:t>
      </w:r>
      <w:r w:rsidR="005649BB" w:rsidRPr="008A138C">
        <w:rPr>
          <w:rFonts w:ascii="Times New Roman" w:hAnsi="Times New Roman" w:cs="Times New Roman"/>
          <w:sz w:val="24"/>
          <w:szCs w:val="24"/>
          <w:lang w:val="es-ES"/>
        </w:rPr>
        <w:t>”.</w:t>
      </w:r>
    </w:p>
  </w:footnote>
  <w:footnote w:id="75">
    <w:p w14:paraId="7D43BB94" w14:textId="0BCD88F1" w:rsidR="00653A11" w:rsidRPr="008A138C" w:rsidRDefault="00653A11" w:rsidP="00653A11">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5C1810">
        <w:rPr>
          <w:rFonts w:ascii="Times New Roman" w:hAnsi="Times New Roman" w:cs="Times New Roman"/>
          <w:sz w:val="24"/>
          <w:szCs w:val="24"/>
        </w:rPr>
        <w:t xml:space="preserve">El proyecto se votó a favor por </w:t>
      </w:r>
      <w:r w:rsidR="005C1810" w:rsidRPr="005C1810">
        <w:rPr>
          <w:rFonts w:ascii="Times New Roman" w:hAnsi="Times New Roman" w:cs="Times New Roman"/>
          <w:sz w:val="24"/>
          <w:szCs w:val="24"/>
        </w:rPr>
        <w:t>las señoras Ministras y los señores Ministros Gutiérrez Ortiz Mena, González Alcántara Carrancá, Esquivel Mossa (adicionalmente por la porción normativa “locales”), Ortiz Ahlf (adicionalmente por la porción normativa “locales”) y Ríos Farjat. La Ministra Presidenta Piña Hernández votó únicamente por la invalidez de la porción “en los términos que establezca la autoridad competente”. Mientras que los Ministros Aguilar Morales, Laynez Potisek y Pérez Dayán votaron en contra.</w:t>
      </w:r>
      <w:r w:rsidR="005C1810">
        <w:rPr>
          <w:rFonts w:ascii="Times New Roman" w:hAnsi="Times New Roman" w:cs="Times New Roman"/>
          <w:sz w:val="24"/>
          <w:szCs w:val="24"/>
        </w:rPr>
        <w:t xml:space="preserve"> </w:t>
      </w:r>
      <w:r w:rsidRPr="008A138C">
        <w:rPr>
          <w:rFonts w:ascii="Times New Roman" w:hAnsi="Times New Roman" w:cs="Times New Roman"/>
          <w:sz w:val="24"/>
          <w:szCs w:val="24"/>
        </w:rPr>
        <w:t>Estuvo ausente en la resolución del asunto el Ministro Pardo Rebolledo.</w:t>
      </w:r>
    </w:p>
  </w:footnote>
  <w:footnote w:id="76">
    <w:p w14:paraId="62D134D2" w14:textId="20191893" w:rsidR="00E83EE1" w:rsidRPr="008A138C" w:rsidRDefault="00E83EE1" w:rsidP="0012729E">
      <w:pPr>
        <w:pStyle w:val="Textonotapie"/>
        <w:spacing w:after="120"/>
        <w:ind w:left="284" w:hanging="284"/>
        <w:rPr>
          <w:rFonts w:ascii="Times New Roman" w:hAnsi="Times New Roman" w:cs="Times New Roman"/>
          <w:sz w:val="24"/>
          <w:szCs w:val="24"/>
          <w:lang w:val="es-ES"/>
        </w:rPr>
      </w:pPr>
      <w:r w:rsidRPr="008A138C">
        <w:rPr>
          <w:rStyle w:val="Refdenotaalpie"/>
          <w:rFonts w:ascii="Times New Roman" w:hAnsi="Times New Roman" w:cs="Times New Roman"/>
          <w:sz w:val="24"/>
          <w:szCs w:val="24"/>
        </w:rPr>
        <w:footnoteRef/>
      </w:r>
      <w:r w:rsidRPr="008A138C">
        <w:rPr>
          <w:rFonts w:ascii="Times New Roman" w:hAnsi="Times New Roman" w:cs="Times New Roman"/>
          <w:sz w:val="24"/>
          <w:szCs w:val="24"/>
        </w:rPr>
        <w:t xml:space="preserve"> </w:t>
      </w:r>
      <w:r w:rsidR="004A01F3" w:rsidRPr="008A138C">
        <w:rPr>
          <w:rFonts w:ascii="Times New Roman" w:hAnsi="Times New Roman" w:cs="Times New Roman"/>
          <w:sz w:val="24"/>
          <w:szCs w:val="24"/>
        </w:rPr>
        <w:t xml:space="preserve">En términos del artículo 222 de la </w:t>
      </w:r>
      <w:r w:rsidR="001C540E" w:rsidRPr="008A138C">
        <w:rPr>
          <w:rFonts w:ascii="Times New Roman" w:hAnsi="Times New Roman" w:cs="Times New Roman"/>
          <w:sz w:val="24"/>
          <w:szCs w:val="24"/>
        </w:rPr>
        <w:t xml:space="preserve">Ley de Amparo, </w:t>
      </w:r>
      <w:r w:rsidR="0012729E" w:rsidRPr="008A138C">
        <w:rPr>
          <w:rFonts w:ascii="Times New Roman" w:hAnsi="Times New Roman" w:cs="Times New Roman"/>
          <w:sz w:val="24"/>
          <w:szCs w:val="24"/>
        </w:rPr>
        <w:t>R</w:t>
      </w:r>
      <w:r w:rsidR="001C540E" w:rsidRPr="008A138C">
        <w:rPr>
          <w:rFonts w:ascii="Times New Roman" w:hAnsi="Times New Roman" w:cs="Times New Roman"/>
          <w:sz w:val="24"/>
          <w:szCs w:val="24"/>
        </w:rPr>
        <w:t xml:space="preserve">eglamentaria de los </w:t>
      </w:r>
      <w:r w:rsidR="0012729E" w:rsidRPr="008A138C">
        <w:rPr>
          <w:rFonts w:ascii="Times New Roman" w:hAnsi="Times New Roman" w:cs="Times New Roman"/>
          <w:sz w:val="24"/>
          <w:szCs w:val="24"/>
        </w:rPr>
        <w:t>A</w:t>
      </w:r>
      <w:r w:rsidR="001C540E" w:rsidRPr="008A138C">
        <w:rPr>
          <w:rFonts w:ascii="Times New Roman" w:hAnsi="Times New Roman" w:cs="Times New Roman"/>
          <w:sz w:val="24"/>
          <w:szCs w:val="24"/>
        </w:rPr>
        <w:t>rtículos 103 y 107 de la Constitución Política de los Estados Unidos Mexicanos.</w:t>
      </w:r>
    </w:p>
  </w:footnote>
  <w:footnote w:id="77">
    <w:p w14:paraId="22CE001D" w14:textId="1888C647" w:rsidR="000806AC" w:rsidRPr="00173989" w:rsidRDefault="000806AC" w:rsidP="00173989">
      <w:pPr>
        <w:pStyle w:val="Textonotapie"/>
        <w:spacing w:after="120"/>
        <w:ind w:left="284" w:hanging="284"/>
        <w:rPr>
          <w:rFonts w:ascii="Times New Roman" w:hAnsi="Times New Roman" w:cs="Times New Roman"/>
          <w:sz w:val="24"/>
          <w:szCs w:val="24"/>
        </w:rPr>
      </w:pPr>
      <w:r w:rsidRPr="00173989">
        <w:rPr>
          <w:rStyle w:val="Refdenotaalpie"/>
          <w:rFonts w:ascii="Times New Roman" w:hAnsi="Times New Roman" w:cs="Times New Roman"/>
          <w:sz w:val="24"/>
          <w:szCs w:val="24"/>
        </w:rPr>
        <w:footnoteRef/>
      </w:r>
      <w:r w:rsidRPr="00173989">
        <w:rPr>
          <w:rFonts w:ascii="Times New Roman" w:hAnsi="Times New Roman" w:cs="Times New Roman"/>
          <w:sz w:val="24"/>
          <w:szCs w:val="24"/>
        </w:rPr>
        <w:t xml:space="preserve"> Por ejemplo, en los Acuerdos INE/CG569/2020 (que se revocó mediante la sentencia SUP-RAP-</w:t>
      </w:r>
      <w:r w:rsidR="007B2963" w:rsidRPr="00173989">
        <w:rPr>
          <w:rFonts w:ascii="Times New Roman" w:hAnsi="Times New Roman" w:cs="Times New Roman"/>
          <w:sz w:val="24"/>
          <w:szCs w:val="24"/>
        </w:rPr>
        <w:t>116/2020 y acumulados); INE/CG</w:t>
      </w:r>
      <w:r w:rsidR="00F97504" w:rsidRPr="00173989">
        <w:rPr>
          <w:rFonts w:ascii="Times New Roman" w:hAnsi="Times New Roman" w:cs="Times New Roman"/>
          <w:sz w:val="24"/>
          <w:szCs w:val="24"/>
        </w:rPr>
        <w:t>1446/2021 e</w:t>
      </w:r>
      <w:r w:rsidR="00AF6BAA" w:rsidRPr="00173989">
        <w:rPr>
          <w:rFonts w:ascii="Times New Roman" w:hAnsi="Times New Roman" w:cs="Times New Roman"/>
          <w:sz w:val="24"/>
          <w:szCs w:val="24"/>
        </w:rPr>
        <w:t xml:space="preserve"> INE/CG199/2022</w:t>
      </w:r>
      <w:r w:rsidR="001E47C0" w:rsidRPr="00173989">
        <w:rPr>
          <w:rFonts w:ascii="Times New Roman" w:hAnsi="Times New Roman" w:cs="Times New Roman"/>
          <w:sz w:val="24"/>
          <w:szCs w:val="24"/>
        </w:rPr>
        <w:t>; INE/CG289/2023</w:t>
      </w:r>
      <w:r w:rsidR="007D3D59" w:rsidRPr="00173989">
        <w:rPr>
          <w:rFonts w:ascii="Times New Roman" w:hAnsi="Times New Roman" w:cs="Times New Roman"/>
          <w:sz w:val="24"/>
          <w:szCs w:val="24"/>
        </w:rPr>
        <w:t xml:space="preserve"> e INE/CG569/2023 (modificado a través de la sentencia dictada en el expediente SUP-</w:t>
      </w:r>
      <w:r w:rsidR="00D30692" w:rsidRPr="00173989">
        <w:rPr>
          <w:rFonts w:ascii="Times New Roman" w:hAnsi="Times New Roman" w:cs="Times New Roman"/>
          <w:sz w:val="24"/>
          <w:szCs w:val="24"/>
        </w:rPr>
        <w:t>RAP-327/2023 y acumulado)</w:t>
      </w:r>
      <w:r w:rsidR="00F700A2" w:rsidRPr="00173989">
        <w:rPr>
          <w:rFonts w:ascii="Times New Roman" w:hAnsi="Times New Roman" w:cs="Times New Roman"/>
          <w:sz w:val="24"/>
          <w:szCs w:val="24"/>
        </w:rPr>
        <w:t xml:space="preserve">; así como </w:t>
      </w:r>
      <w:r w:rsidR="00F341A1" w:rsidRPr="00173989">
        <w:rPr>
          <w:rFonts w:ascii="Times New Roman" w:hAnsi="Times New Roman" w:cs="Times New Roman"/>
          <w:sz w:val="24"/>
          <w:szCs w:val="24"/>
        </w:rPr>
        <w:t>INE/CG483/2023 (modificado a través de la sentencia SUP-RAP-220/2022 y acumulados).</w:t>
      </w:r>
    </w:p>
  </w:footnote>
  <w:footnote w:id="78">
    <w:p w14:paraId="375649CB" w14:textId="4CF1729D" w:rsidR="00690D83" w:rsidRPr="00173989" w:rsidRDefault="00690D83" w:rsidP="00173989">
      <w:pPr>
        <w:pStyle w:val="Textonotapie"/>
        <w:spacing w:after="120"/>
        <w:ind w:left="284" w:hanging="284"/>
        <w:rPr>
          <w:rFonts w:ascii="Times New Roman" w:hAnsi="Times New Roman" w:cs="Times New Roman"/>
          <w:sz w:val="24"/>
          <w:szCs w:val="24"/>
        </w:rPr>
      </w:pPr>
      <w:r w:rsidRPr="00173989">
        <w:rPr>
          <w:rStyle w:val="Refdenotaalpie"/>
          <w:rFonts w:ascii="Times New Roman" w:hAnsi="Times New Roman" w:cs="Times New Roman"/>
          <w:sz w:val="24"/>
          <w:szCs w:val="24"/>
        </w:rPr>
        <w:footnoteRef/>
      </w:r>
      <w:r w:rsidRPr="00173989">
        <w:rPr>
          <w:rFonts w:ascii="Times New Roman" w:hAnsi="Times New Roman" w:cs="Times New Roman"/>
          <w:sz w:val="24"/>
          <w:szCs w:val="24"/>
        </w:rPr>
        <w:t xml:space="preserve"> Véanse la sentencia SUP-RAP-116/2020 y </w:t>
      </w:r>
      <w:r w:rsidR="00A60B7A" w:rsidRPr="00173989">
        <w:rPr>
          <w:rFonts w:ascii="Times New Roman" w:hAnsi="Times New Roman" w:cs="Times New Roman"/>
          <w:sz w:val="24"/>
          <w:szCs w:val="24"/>
        </w:rPr>
        <w:t>la resolución dictada en el mismo expediente en el incidente oficio</w:t>
      </w:r>
      <w:r w:rsidR="009F1924">
        <w:rPr>
          <w:rFonts w:ascii="Times New Roman" w:hAnsi="Times New Roman" w:cs="Times New Roman"/>
          <w:sz w:val="24"/>
          <w:szCs w:val="24"/>
        </w:rPr>
        <w:t>so</w:t>
      </w:r>
      <w:r w:rsidR="00A60B7A" w:rsidRPr="00173989">
        <w:rPr>
          <w:rFonts w:ascii="Times New Roman" w:hAnsi="Times New Roman" w:cs="Times New Roman"/>
          <w:sz w:val="24"/>
          <w:szCs w:val="24"/>
        </w:rPr>
        <w:t xml:space="preserve"> de incumplimiento de sentencia, dictado el cinco de junio de dos mil veintitrés.</w:t>
      </w:r>
      <w:r w:rsidR="000A3862" w:rsidRPr="00173989">
        <w:rPr>
          <w:rFonts w:ascii="Times New Roman" w:hAnsi="Times New Roman" w:cs="Times New Roman"/>
          <w:sz w:val="24"/>
          <w:szCs w:val="24"/>
        </w:rPr>
        <w:t xml:space="preserve"> </w:t>
      </w:r>
      <w:r w:rsidR="00FA6975" w:rsidRPr="00173989">
        <w:rPr>
          <w:rFonts w:ascii="Times New Roman" w:hAnsi="Times New Roman" w:cs="Times New Roman"/>
          <w:sz w:val="24"/>
          <w:szCs w:val="24"/>
        </w:rPr>
        <w:t>Asimismo, las sentencias SUP-JDC-91/2022 y SUP-JDC-434/2022</w:t>
      </w:r>
    </w:p>
  </w:footnote>
  <w:footnote w:id="79">
    <w:p w14:paraId="45AACA52" w14:textId="38EABD8B" w:rsidR="0041106C" w:rsidRPr="00173989" w:rsidRDefault="0041106C" w:rsidP="00173989">
      <w:pPr>
        <w:pStyle w:val="Textonotapie"/>
        <w:spacing w:after="120"/>
        <w:ind w:left="284" w:hanging="284"/>
        <w:rPr>
          <w:rFonts w:ascii="Times New Roman" w:hAnsi="Times New Roman" w:cs="Times New Roman"/>
          <w:sz w:val="24"/>
          <w:szCs w:val="24"/>
        </w:rPr>
      </w:pPr>
      <w:r w:rsidRPr="00173989">
        <w:rPr>
          <w:rStyle w:val="Refdenotaalpie"/>
          <w:rFonts w:ascii="Times New Roman" w:hAnsi="Times New Roman" w:cs="Times New Roman"/>
          <w:sz w:val="24"/>
          <w:szCs w:val="24"/>
        </w:rPr>
        <w:footnoteRef/>
      </w:r>
      <w:r w:rsidRPr="00173989">
        <w:rPr>
          <w:rFonts w:ascii="Times New Roman" w:hAnsi="Times New Roman" w:cs="Times New Roman"/>
          <w:sz w:val="24"/>
          <w:szCs w:val="24"/>
        </w:rPr>
        <w:t xml:space="preserve"> Por ejemplo, en la sentencia SUP-</w:t>
      </w:r>
      <w:r w:rsidR="00623310" w:rsidRPr="00173989">
        <w:rPr>
          <w:rFonts w:ascii="Times New Roman" w:hAnsi="Times New Roman" w:cs="Times New Roman"/>
          <w:sz w:val="24"/>
          <w:szCs w:val="24"/>
        </w:rPr>
        <w:t xml:space="preserve">JDC-115/2022 y acumulado, en la cual </w:t>
      </w:r>
      <w:r w:rsidR="00E1288B" w:rsidRPr="00173989">
        <w:rPr>
          <w:rFonts w:ascii="Times New Roman" w:hAnsi="Times New Roman" w:cs="Times New Roman"/>
          <w:sz w:val="24"/>
          <w:szCs w:val="24"/>
        </w:rPr>
        <w:t>una aspirante a la Gubernatura del estado de Oaxaca</w:t>
      </w:r>
      <w:r w:rsidR="00253006" w:rsidRPr="00173989">
        <w:rPr>
          <w:rFonts w:ascii="Times New Roman" w:hAnsi="Times New Roman" w:cs="Times New Roman"/>
          <w:sz w:val="24"/>
          <w:szCs w:val="24"/>
        </w:rPr>
        <w:t xml:space="preserve"> planteó que debía </w:t>
      </w:r>
      <w:r w:rsidR="008348B0" w:rsidRPr="00173989">
        <w:rPr>
          <w:rFonts w:ascii="Times New Roman" w:hAnsi="Times New Roman" w:cs="Times New Roman"/>
          <w:sz w:val="24"/>
          <w:szCs w:val="24"/>
        </w:rPr>
        <w:t>aplicarse la alternancia de género en la postulación de las gubernaturas en la elección del año dos mil veintidós.</w:t>
      </w:r>
      <w:r w:rsidR="0057310B" w:rsidRPr="00173989">
        <w:rPr>
          <w:rFonts w:ascii="Times New Roman" w:hAnsi="Times New Roman" w:cs="Times New Roman"/>
          <w:sz w:val="24"/>
          <w:szCs w:val="24"/>
        </w:rPr>
        <w:t xml:space="preserve"> </w:t>
      </w:r>
      <w:r w:rsidR="00417D6B">
        <w:rPr>
          <w:rFonts w:ascii="Times New Roman" w:hAnsi="Times New Roman" w:cs="Times New Roman"/>
          <w:sz w:val="24"/>
          <w:szCs w:val="24"/>
        </w:rPr>
        <w:t>Lo anterior</w:t>
      </w:r>
      <w:r w:rsidR="00793498" w:rsidRPr="00173989">
        <w:rPr>
          <w:rFonts w:ascii="Times New Roman" w:hAnsi="Times New Roman" w:cs="Times New Roman"/>
          <w:sz w:val="24"/>
          <w:szCs w:val="24"/>
        </w:rPr>
        <w:t>,</w:t>
      </w:r>
      <w:r w:rsidR="00417D6B">
        <w:rPr>
          <w:rFonts w:ascii="Times New Roman" w:hAnsi="Times New Roman" w:cs="Times New Roman"/>
          <w:sz w:val="24"/>
          <w:szCs w:val="24"/>
        </w:rPr>
        <w:t xml:space="preserve"> con la excepción de lo resuelto en</w:t>
      </w:r>
      <w:r w:rsidR="00793498" w:rsidRPr="00173989">
        <w:rPr>
          <w:rFonts w:ascii="Times New Roman" w:hAnsi="Times New Roman" w:cs="Times New Roman"/>
          <w:sz w:val="24"/>
          <w:szCs w:val="24"/>
        </w:rPr>
        <w:t xml:space="preserve"> la sentencia SUP-RAP-327/2023 y acumulado,</w:t>
      </w:r>
      <w:r w:rsidR="00417D6B">
        <w:rPr>
          <w:rFonts w:ascii="Times New Roman" w:hAnsi="Times New Roman" w:cs="Times New Roman"/>
          <w:sz w:val="24"/>
          <w:szCs w:val="24"/>
        </w:rPr>
        <w:t xml:space="preserve"> en la que</w:t>
      </w:r>
      <w:r w:rsidR="00486903" w:rsidRPr="00173989">
        <w:rPr>
          <w:rFonts w:ascii="Times New Roman" w:hAnsi="Times New Roman" w:cs="Times New Roman"/>
          <w:sz w:val="24"/>
          <w:szCs w:val="24"/>
        </w:rPr>
        <w:t xml:space="preserve"> </w:t>
      </w:r>
      <w:r w:rsidR="00FB5A47" w:rsidRPr="00173989">
        <w:rPr>
          <w:rFonts w:ascii="Times New Roman" w:hAnsi="Times New Roman" w:cs="Times New Roman"/>
          <w:sz w:val="24"/>
          <w:szCs w:val="24"/>
        </w:rPr>
        <w:t>la Sala Superior determinó que</w:t>
      </w:r>
      <w:r w:rsidR="007C326C" w:rsidRPr="00173989">
        <w:rPr>
          <w:rFonts w:ascii="Times New Roman" w:hAnsi="Times New Roman" w:cs="Times New Roman"/>
          <w:sz w:val="24"/>
          <w:szCs w:val="24"/>
        </w:rPr>
        <w:t>, en los procesos electorales 2023-2024,</w:t>
      </w:r>
      <w:r w:rsidR="00FB5A47" w:rsidRPr="00173989">
        <w:rPr>
          <w:rFonts w:ascii="Times New Roman" w:hAnsi="Times New Roman" w:cs="Times New Roman"/>
          <w:sz w:val="24"/>
          <w:szCs w:val="24"/>
        </w:rPr>
        <w:t xml:space="preserve"> los partidos políticos </w:t>
      </w:r>
      <w:r w:rsidR="00FC1079" w:rsidRPr="00173989">
        <w:rPr>
          <w:rFonts w:ascii="Times New Roman" w:hAnsi="Times New Roman" w:cs="Times New Roman"/>
          <w:sz w:val="24"/>
          <w:szCs w:val="24"/>
        </w:rPr>
        <w:t xml:space="preserve">locales debían observar la alternancia a partir del género en la última postulación para el cargo a la gubernatura que registraron, </w:t>
      </w:r>
      <w:r w:rsidR="005054A7" w:rsidRPr="00173989">
        <w:rPr>
          <w:rFonts w:ascii="Times New Roman" w:hAnsi="Times New Roman" w:cs="Times New Roman"/>
          <w:sz w:val="24"/>
          <w:szCs w:val="24"/>
        </w:rPr>
        <w:t>para el caso</w:t>
      </w:r>
      <w:r w:rsidR="0059729B">
        <w:rPr>
          <w:rFonts w:ascii="Times New Roman" w:hAnsi="Times New Roman" w:cs="Times New Roman"/>
          <w:sz w:val="24"/>
          <w:szCs w:val="24"/>
        </w:rPr>
        <w:t xml:space="preserve"> específico</w:t>
      </w:r>
      <w:r w:rsidR="005054A7" w:rsidRPr="00173989">
        <w:rPr>
          <w:rFonts w:ascii="Times New Roman" w:hAnsi="Times New Roman" w:cs="Times New Roman"/>
          <w:sz w:val="24"/>
          <w:szCs w:val="24"/>
        </w:rPr>
        <w:t xml:space="preserve"> de las entidades federativas en las que no </w:t>
      </w:r>
      <w:r w:rsidR="00817D43">
        <w:rPr>
          <w:rFonts w:ascii="Times New Roman" w:hAnsi="Times New Roman" w:cs="Times New Roman"/>
          <w:sz w:val="24"/>
          <w:szCs w:val="24"/>
        </w:rPr>
        <w:t>existiera</w:t>
      </w:r>
      <w:r w:rsidR="005054A7" w:rsidRPr="00173989">
        <w:rPr>
          <w:rFonts w:ascii="Times New Roman" w:hAnsi="Times New Roman" w:cs="Times New Roman"/>
          <w:sz w:val="24"/>
          <w:szCs w:val="24"/>
        </w:rPr>
        <w:t xml:space="preserve"> legislación para regular la paridad de género, </w:t>
      </w:r>
      <w:r w:rsidR="003C5419">
        <w:rPr>
          <w:rFonts w:ascii="Times New Roman" w:hAnsi="Times New Roman" w:cs="Times New Roman"/>
          <w:sz w:val="24"/>
          <w:szCs w:val="24"/>
        </w:rPr>
        <w:t>salvo que</w:t>
      </w:r>
      <w:r w:rsidR="005054A7" w:rsidRPr="00173989">
        <w:rPr>
          <w:rFonts w:ascii="Times New Roman" w:hAnsi="Times New Roman" w:cs="Times New Roman"/>
          <w:sz w:val="24"/>
          <w:szCs w:val="24"/>
        </w:rPr>
        <w:t xml:space="preserve"> </w:t>
      </w:r>
      <w:r w:rsidR="003C5419">
        <w:rPr>
          <w:rFonts w:ascii="Times New Roman" w:hAnsi="Times New Roman" w:cs="Times New Roman"/>
          <w:sz w:val="24"/>
          <w:szCs w:val="24"/>
        </w:rPr>
        <w:t>decidieran participar</w:t>
      </w:r>
      <w:r w:rsidR="005054A7" w:rsidRPr="00173989">
        <w:rPr>
          <w:rFonts w:ascii="Times New Roman" w:hAnsi="Times New Roman" w:cs="Times New Roman"/>
          <w:sz w:val="24"/>
          <w:szCs w:val="24"/>
        </w:rPr>
        <w:t xml:space="preserve"> de manera coaligada con</w:t>
      </w:r>
      <w:r w:rsidR="003C5419">
        <w:rPr>
          <w:rFonts w:ascii="Times New Roman" w:hAnsi="Times New Roman" w:cs="Times New Roman"/>
          <w:sz w:val="24"/>
          <w:szCs w:val="24"/>
        </w:rPr>
        <w:t xml:space="preserve"> uno o más</w:t>
      </w:r>
      <w:r w:rsidR="005054A7" w:rsidRPr="00173989">
        <w:rPr>
          <w:rFonts w:ascii="Times New Roman" w:hAnsi="Times New Roman" w:cs="Times New Roman"/>
          <w:sz w:val="24"/>
          <w:szCs w:val="24"/>
        </w:rPr>
        <w:t xml:space="preserve"> partido</w:t>
      </w:r>
      <w:r w:rsidR="00817D43">
        <w:rPr>
          <w:rFonts w:ascii="Times New Roman" w:hAnsi="Times New Roman" w:cs="Times New Roman"/>
          <w:sz w:val="24"/>
          <w:szCs w:val="24"/>
        </w:rPr>
        <w:t>s</w:t>
      </w:r>
      <w:r w:rsidR="005054A7" w:rsidRPr="00173989">
        <w:rPr>
          <w:rFonts w:ascii="Times New Roman" w:hAnsi="Times New Roman" w:cs="Times New Roman"/>
          <w:sz w:val="24"/>
          <w:szCs w:val="24"/>
        </w:rPr>
        <w:t xml:space="preserve"> político</w:t>
      </w:r>
      <w:r w:rsidR="00817D43">
        <w:rPr>
          <w:rFonts w:ascii="Times New Roman" w:hAnsi="Times New Roman" w:cs="Times New Roman"/>
          <w:sz w:val="24"/>
          <w:szCs w:val="24"/>
        </w:rPr>
        <w:t>s</w:t>
      </w:r>
      <w:r w:rsidR="005054A7" w:rsidRPr="00173989">
        <w:rPr>
          <w:rFonts w:ascii="Times New Roman" w:hAnsi="Times New Roman" w:cs="Times New Roman"/>
          <w:sz w:val="24"/>
          <w:szCs w:val="24"/>
        </w:rPr>
        <w:t xml:space="preserve"> nacional</w:t>
      </w:r>
      <w:r w:rsidR="00817D43">
        <w:rPr>
          <w:rFonts w:ascii="Times New Roman" w:hAnsi="Times New Roman" w:cs="Times New Roman"/>
          <w:sz w:val="24"/>
          <w:szCs w:val="24"/>
        </w:rPr>
        <w:t>es</w:t>
      </w:r>
      <w:r w:rsidR="005054A7" w:rsidRPr="00173989">
        <w:rPr>
          <w:rFonts w:ascii="Times New Roman" w:hAnsi="Times New Roman" w:cs="Times New Roman"/>
          <w:sz w:val="24"/>
          <w:szCs w:val="24"/>
        </w:rPr>
        <w:t>.</w:t>
      </w:r>
    </w:p>
  </w:footnote>
  <w:footnote w:id="80">
    <w:p w14:paraId="426CE1BA" w14:textId="488143B6" w:rsidR="00EF1D16" w:rsidRPr="00C03150" w:rsidRDefault="00EF1D16" w:rsidP="00C03150">
      <w:pPr>
        <w:pStyle w:val="Textonotapie"/>
        <w:spacing w:after="120"/>
        <w:ind w:left="284" w:hanging="284"/>
        <w:rPr>
          <w:rFonts w:ascii="Times New Roman" w:hAnsi="Times New Roman" w:cs="Times New Roman"/>
          <w:sz w:val="24"/>
          <w:szCs w:val="24"/>
        </w:rPr>
      </w:pPr>
      <w:r w:rsidRPr="00C03150">
        <w:rPr>
          <w:rStyle w:val="Refdenotaalpie"/>
          <w:rFonts w:ascii="Times New Roman" w:hAnsi="Times New Roman" w:cs="Times New Roman"/>
          <w:sz w:val="24"/>
          <w:szCs w:val="24"/>
        </w:rPr>
        <w:footnoteRef/>
      </w:r>
      <w:r w:rsidRPr="00C03150">
        <w:rPr>
          <w:rFonts w:ascii="Times New Roman" w:hAnsi="Times New Roman" w:cs="Times New Roman"/>
          <w:sz w:val="24"/>
          <w:szCs w:val="24"/>
        </w:rPr>
        <w:t xml:space="preserve"> </w:t>
      </w:r>
      <w:r w:rsidR="00C03150" w:rsidRPr="00C03150">
        <w:rPr>
          <w:rFonts w:ascii="Times New Roman" w:hAnsi="Times New Roman" w:cs="Times New Roman"/>
          <w:sz w:val="24"/>
          <w:szCs w:val="24"/>
        </w:rPr>
        <w:t>Resuelto el cinco de junio de dos mil veintitrés.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B73D" w14:textId="77777777" w:rsidR="00C27AAE" w:rsidRDefault="00C27AAE">
    <w:pPr>
      <w:jc w:val="center"/>
      <w:rPr>
        <w:b/>
        <w:sz w:val="28"/>
        <w:szCs w:val="28"/>
      </w:rPr>
    </w:pPr>
  </w:p>
  <w:p w14:paraId="42FB7F85" w14:textId="0CBB2F3B" w:rsidR="00C27AAE" w:rsidRPr="00EE6D1A" w:rsidRDefault="00C27AAE" w:rsidP="000725C3">
    <w:pPr>
      <w:pStyle w:val="Encabezado"/>
      <w:jc w:val="left"/>
      <w:rPr>
        <w:rFonts w:eastAsia="Times New Roman"/>
        <w:b/>
        <w:sz w:val="28"/>
        <w:szCs w:val="28"/>
        <w:lang w:val="es-ES_tradnl" w:eastAsia="es-ES"/>
      </w:rPr>
    </w:pPr>
    <w:r w:rsidRPr="00EE6D1A">
      <w:rPr>
        <w:rFonts w:eastAsia="Times New Roman"/>
        <w:b/>
        <w:sz w:val="28"/>
        <w:szCs w:val="28"/>
        <w:lang w:val="es-ES_tradnl" w:eastAsia="es-ES"/>
      </w:rPr>
      <w:t xml:space="preserve">ACCIÓN DE INCONSTITUCIONALIDAD </w:t>
    </w:r>
    <w:r w:rsidR="00716410" w:rsidRPr="00EE6D1A">
      <w:rPr>
        <w:rFonts w:eastAsia="Times New Roman"/>
        <w:b/>
        <w:sz w:val="28"/>
        <w:szCs w:val="28"/>
        <w:lang w:val="es-ES_tradnl" w:eastAsia="es-ES"/>
      </w:rPr>
      <w:t>47</w:t>
    </w:r>
    <w:r w:rsidRPr="00EE6D1A">
      <w:rPr>
        <w:rFonts w:eastAsia="Times New Roman"/>
        <w:b/>
        <w:sz w:val="28"/>
        <w:szCs w:val="28"/>
        <w:lang w:val="es-ES_tradnl" w:eastAsia="es-ES"/>
      </w:rPr>
      <w:t>/202</w:t>
    </w:r>
    <w:r w:rsidR="00716410" w:rsidRPr="00EE6D1A">
      <w:rPr>
        <w:rFonts w:eastAsia="Times New Roman"/>
        <w:b/>
        <w:sz w:val="28"/>
        <w:szCs w:val="28"/>
        <w:lang w:val="es-ES_tradnl" w:eastAsia="es-ES"/>
      </w:rPr>
      <w:t>4</w:t>
    </w:r>
  </w:p>
  <w:p w14:paraId="4557DB6C" w14:textId="77777777" w:rsidR="00C27AAE" w:rsidRPr="00E74392" w:rsidRDefault="00C27AAE">
    <w:pPr>
      <w:pStyle w:val="Encabezado"/>
      <w:jc w:val="right"/>
      <w:rPr>
        <w:rFonts w:eastAsia="Times New Roman"/>
        <w:b/>
        <w:color w:val="0070C0"/>
        <w:sz w:val="28"/>
        <w:szCs w:val="28"/>
        <w:lang w:val="es-ES_tradnl" w:eastAsia="es-ES"/>
      </w:rPr>
    </w:pPr>
  </w:p>
  <w:p w14:paraId="56898A5C" w14:textId="77777777" w:rsidR="00C27AAE" w:rsidRDefault="00C27A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48CD" w14:textId="77777777" w:rsidR="00C27AAE" w:rsidRDefault="00C27AAE">
    <w:pPr>
      <w:jc w:val="center"/>
      <w:rPr>
        <w:b/>
        <w:sz w:val="28"/>
        <w:szCs w:val="28"/>
      </w:rPr>
    </w:pPr>
  </w:p>
  <w:p w14:paraId="65C7B703" w14:textId="5BC2817D" w:rsidR="00C27AAE" w:rsidRPr="00EE6D1A" w:rsidRDefault="00A153CC" w:rsidP="000725C3">
    <w:pPr>
      <w:pStyle w:val="Encabezado"/>
      <w:jc w:val="right"/>
      <w:rPr>
        <w:rFonts w:eastAsia="Times New Roman"/>
        <w:b/>
        <w:sz w:val="28"/>
        <w:szCs w:val="28"/>
        <w:lang w:val="es-ES_tradnl" w:eastAsia="es-ES"/>
      </w:rPr>
    </w:pPr>
    <w:r w:rsidRPr="00EE6D1A">
      <w:rPr>
        <w:rFonts w:eastAsia="Times New Roman"/>
        <w:b/>
        <w:sz w:val="28"/>
        <w:szCs w:val="28"/>
        <w:lang w:val="es-ES_tradnl" w:eastAsia="es-ES"/>
      </w:rPr>
      <w:t xml:space="preserve">ACCIÓN DE INCONSTITUCIONALIDAD </w:t>
    </w:r>
    <w:r w:rsidR="00716410" w:rsidRPr="00EE6D1A">
      <w:rPr>
        <w:rFonts w:eastAsia="Times New Roman"/>
        <w:b/>
        <w:sz w:val="28"/>
        <w:szCs w:val="28"/>
        <w:lang w:val="es-ES_tradnl" w:eastAsia="es-ES"/>
      </w:rPr>
      <w:t>4</w:t>
    </w:r>
    <w:r w:rsidRPr="00EE6D1A">
      <w:rPr>
        <w:rFonts w:eastAsia="Times New Roman"/>
        <w:b/>
        <w:sz w:val="28"/>
        <w:szCs w:val="28"/>
        <w:lang w:val="es-ES_tradnl" w:eastAsia="es-ES"/>
      </w:rPr>
      <w:t>7/202</w:t>
    </w:r>
    <w:r w:rsidR="00716410" w:rsidRPr="00EE6D1A">
      <w:rPr>
        <w:rFonts w:eastAsia="Times New Roman"/>
        <w:b/>
        <w:sz w:val="28"/>
        <w:szCs w:val="28"/>
        <w:lang w:val="es-ES_tradnl" w:eastAsia="es-ES"/>
      </w:rPr>
      <w:t>4</w:t>
    </w:r>
  </w:p>
  <w:p w14:paraId="39C4E66D" w14:textId="77777777" w:rsidR="00C27AAE" w:rsidRDefault="00C27AAE">
    <w:pPr>
      <w:rPr>
        <w:b/>
        <w:sz w:val="28"/>
        <w:szCs w:val="28"/>
      </w:rPr>
    </w:pPr>
  </w:p>
  <w:p w14:paraId="51C8B27F" w14:textId="77777777" w:rsidR="00C27AAE" w:rsidRPr="00D95A01" w:rsidRDefault="00C27AAE">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A439" w14:textId="77777777" w:rsidR="00251A0D" w:rsidRPr="005343B1" w:rsidRDefault="00251A0D">
    <w:pPr>
      <w:pStyle w:val="Encabezado"/>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2D29"/>
    <w:multiLevelType w:val="hybridMultilevel"/>
    <w:tmpl w:val="05B09376"/>
    <w:lvl w:ilvl="0" w:tplc="E89C621A">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F3D1A"/>
    <w:multiLevelType w:val="hybridMultilevel"/>
    <w:tmpl w:val="550C43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56801"/>
    <w:multiLevelType w:val="hybridMultilevel"/>
    <w:tmpl w:val="71AC586C"/>
    <w:lvl w:ilvl="0" w:tplc="C3D2F4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F0CDD"/>
    <w:multiLevelType w:val="hybridMultilevel"/>
    <w:tmpl w:val="581ED8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214672"/>
    <w:multiLevelType w:val="hybridMultilevel"/>
    <w:tmpl w:val="E5D2271A"/>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9B7F77"/>
    <w:multiLevelType w:val="hybridMultilevel"/>
    <w:tmpl w:val="3C340E76"/>
    <w:lvl w:ilvl="0" w:tplc="FFFFFFFF">
      <w:start w:val="1"/>
      <w:numFmt w:val="lowerLetter"/>
      <w:lvlText w:val="%1)"/>
      <w:lvlJc w:val="left"/>
      <w:pPr>
        <w:ind w:left="720" w:hanging="360"/>
      </w:pPr>
      <w:rPr>
        <w:rFonts w:hint="default"/>
        <w:b/>
        <w:bCs/>
      </w:rPr>
    </w:lvl>
    <w:lvl w:ilvl="1" w:tplc="06EA8A96">
      <w:start w:val="1"/>
      <w:numFmt w:val="lowerRoman"/>
      <w:lvlText w:val="%2)"/>
      <w:lvlJc w:val="left"/>
      <w:pPr>
        <w:ind w:left="1440" w:hanging="360"/>
      </w:pPr>
      <w:rPr>
        <w:rFonts w:ascii="Arial" w:eastAsia="Times New Roman" w:hAnsi="Arial" w:cs="Arial"/>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1401B7"/>
    <w:multiLevelType w:val="hybridMultilevel"/>
    <w:tmpl w:val="4DF073A2"/>
    <w:lvl w:ilvl="0" w:tplc="1C3ED472">
      <w:start w:val="1"/>
      <w:numFmt w:val="decimal"/>
      <w:lvlText w:val="%1."/>
      <w:lvlJc w:val="left"/>
      <w:pPr>
        <w:ind w:left="928" w:hanging="360"/>
      </w:pPr>
      <w:rPr>
        <w:rFonts w:ascii="Arial" w:hAnsi="Arial" w:cs="Arial" w:hint="default"/>
        <w:b/>
        <w:bCs/>
        <w:i w:val="0"/>
        <w:strike w:val="0"/>
        <w:sz w:val="28"/>
        <w:szCs w:val="28"/>
      </w:rPr>
    </w:lvl>
    <w:lvl w:ilvl="1" w:tplc="F5AA3210">
      <w:start w:val="1"/>
      <w:numFmt w:val="upperRoman"/>
      <w:lvlText w:val="%2."/>
      <w:lvlJc w:val="left"/>
      <w:pPr>
        <w:ind w:left="1232" w:hanging="720"/>
      </w:pPr>
      <w:rPr>
        <w:rFonts w:ascii="Arial" w:hAnsi="Arial" w:cs="Arial" w:hint="default"/>
        <w:b/>
        <w:bCs w:val="0"/>
      </w:rPr>
    </w:lvl>
    <w:lvl w:ilvl="2" w:tplc="93BE4CEC">
      <w:start w:val="1"/>
      <w:numFmt w:val="lowerLetter"/>
      <w:lvlText w:val="%3)"/>
      <w:lvlJc w:val="left"/>
      <w:pPr>
        <w:ind w:left="1772" w:hanging="360"/>
      </w:pPr>
      <w:rPr>
        <w:rFonts w:hint="default"/>
        <w:b/>
        <w:bCs w:val="0"/>
        <w:i w:val="0"/>
      </w:rPr>
    </w:lvl>
    <w:lvl w:ilvl="3" w:tplc="080A000F">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7" w15:restartNumberingAfterBreak="0">
    <w:nsid w:val="1E2C3F4C"/>
    <w:multiLevelType w:val="hybridMultilevel"/>
    <w:tmpl w:val="1CECF102"/>
    <w:lvl w:ilvl="0" w:tplc="5EF67FE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837EC5"/>
    <w:multiLevelType w:val="hybridMultilevel"/>
    <w:tmpl w:val="76700960"/>
    <w:lvl w:ilvl="0" w:tplc="0DAE3E7E">
      <w:start w:val="1"/>
      <w:numFmt w:val="decimal"/>
      <w:lvlText w:val="%1."/>
      <w:lvlJc w:val="left"/>
      <w:pPr>
        <w:ind w:left="1710" w:hanging="360"/>
      </w:pPr>
      <w:rPr>
        <w:rFonts w:ascii="Arial" w:hAnsi="Arial" w:cs="Arial" w:hint="default"/>
        <w:b/>
        <w:bCs/>
        <w:i w:val="0"/>
        <w:strike w:val="0"/>
        <w:color w:val="auto"/>
        <w:sz w:val="28"/>
        <w:szCs w:val="28"/>
        <w:vertAlign w:val="baseline"/>
      </w:rPr>
    </w:lvl>
    <w:lvl w:ilvl="1" w:tplc="8DA80F18">
      <w:start w:val="1"/>
      <w:numFmt w:val="lowerLetter"/>
      <w:lvlText w:val="%2."/>
      <w:lvlJc w:val="left"/>
      <w:pPr>
        <w:ind w:left="1440" w:hanging="360"/>
      </w:pPr>
      <w:rPr>
        <w:b w:val="0"/>
        <w:bCs w:val="0"/>
      </w:rPr>
    </w:lvl>
    <w:lvl w:ilvl="2" w:tplc="080A001B">
      <w:start w:val="1"/>
      <w:numFmt w:val="lowerRoman"/>
      <w:lvlText w:val="%3."/>
      <w:lvlJc w:val="right"/>
      <w:pPr>
        <w:ind w:left="2160" w:hanging="180"/>
      </w:pPr>
    </w:lvl>
    <w:lvl w:ilvl="3" w:tplc="50227D9A">
      <w:start w:val="1"/>
      <w:numFmt w:val="decimal"/>
      <w:lvlText w:val="%4)"/>
      <w:lvlJc w:val="left"/>
      <w:pPr>
        <w:ind w:left="2940" w:hanging="420"/>
      </w:pPr>
      <w:rPr>
        <w:rFonts w:hint="default"/>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4C1498"/>
    <w:multiLevelType w:val="hybridMultilevel"/>
    <w:tmpl w:val="4894E3AC"/>
    <w:lvl w:ilvl="0" w:tplc="C82E2296">
      <w:start w:val="1"/>
      <w:numFmt w:val="decimal"/>
      <w:lvlText w:val="(%1)"/>
      <w:lvlJc w:val="left"/>
      <w:pPr>
        <w:ind w:left="720" w:hanging="360"/>
      </w:pPr>
      <w:rPr>
        <w:rFonts w:ascii="Arial" w:eastAsia="Times New Roman" w:hAnsi="Arial" w:cs="Arial"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237516"/>
    <w:multiLevelType w:val="hybridMultilevel"/>
    <w:tmpl w:val="AC34F0A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E23124"/>
    <w:multiLevelType w:val="hybridMultilevel"/>
    <w:tmpl w:val="1CECF10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E621EC"/>
    <w:multiLevelType w:val="hybridMultilevel"/>
    <w:tmpl w:val="BDA289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C938CB"/>
    <w:multiLevelType w:val="hybridMultilevel"/>
    <w:tmpl w:val="F4088152"/>
    <w:lvl w:ilvl="0" w:tplc="C9AAF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82634"/>
    <w:multiLevelType w:val="hybridMultilevel"/>
    <w:tmpl w:val="5890EF46"/>
    <w:lvl w:ilvl="0" w:tplc="1F8824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474DD0"/>
    <w:multiLevelType w:val="hybridMultilevel"/>
    <w:tmpl w:val="796817E2"/>
    <w:lvl w:ilvl="0" w:tplc="49BC1ED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5D6C9C"/>
    <w:multiLevelType w:val="hybridMultilevel"/>
    <w:tmpl w:val="AC34F0AC"/>
    <w:lvl w:ilvl="0" w:tplc="803C20B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90C81"/>
    <w:multiLevelType w:val="hybridMultilevel"/>
    <w:tmpl w:val="892C019C"/>
    <w:lvl w:ilvl="0" w:tplc="37D40D38">
      <w:start w:val="2"/>
      <w:numFmt w:val="decimal"/>
      <w:pStyle w:val="Estilo1"/>
      <w:lvlText w:val="%1."/>
      <w:lvlJc w:val="left"/>
      <w:pPr>
        <w:ind w:left="720" w:hanging="360"/>
      </w:pPr>
      <w:rPr>
        <w:rFonts w:ascii="Arial" w:hAnsi="Arial" w:cs="Arial" w:hint="default"/>
        <w:b/>
        <w:bCs/>
        <w:i w:val="0"/>
        <w:iCs/>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E633F0"/>
    <w:multiLevelType w:val="hybridMultilevel"/>
    <w:tmpl w:val="1CECF10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884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7486018">
    <w:abstractNumId w:val="8"/>
  </w:num>
  <w:num w:numId="3" w16cid:durableId="13965606">
    <w:abstractNumId w:val="12"/>
  </w:num>
  <w:num w:numId="4" w16cid:durableId="616059235">
    <w:abstractNumId w:val="17"/>
  </w:num>
  <w:num w:numId="5" w16cid:durableId="1830947579">
    <w:abstractNumId w:val="2"/>
  </w:num>
  <w:num w:numId="6" w16cid:durableId="1818836768">
    <w:abstractNumId w:val="3"/>
  </w:num>
  <w:num w:numId="7" w16cid:durableId="508833724">
    <w:abstractNumId w:val="0"/>
  </w:num>
  <w:num w:numId="8" w16cid:durableId="301621992">
    <w:abstractNumId w:val="15"/>
  </w:num>
  <w:num w:numId="9" w16cid:durableId="429862901">
    <w:abstractNumId w:val="14"/>
  </w:num>
  <w:num w:numId="10" w16cid:durableId="941185842">
    <w:abstractNumId w:val="13"/>
  </w:num>
  <w:num w:numId="11" w16cid:durableId="1855461840">
    <w:abstractNumId w:val="16"/>
  </w:num>
  <w:num w:numId="12" w16cid:durableId="386076316">
    <w:abstractNumId w:val="10"/>
  </w:num>
  <w:num w:numId="13" w16cid:durableId="942373796">
    <w:abstractNumId w:val="6"/>
  </w:num>
  <w:num w:numId="14" w16cid:durableId="1499272591">
    <w:abstractNumId w:val="7"/>
  </w:num>
  <w:num w:numId="15" w16cid:durableId="1870341215">
    <w:abstractNumId w:val="11"/>
  </w:num>
  <w:num w:numId="16" w16cid:durableId="428815389">
    <w:abstractNumId w:val="9"/>
  </w:num>
  <w:num w:numId="17" w16cid:durableId="983046900">
    <w:abstractNumId w:val="18"/>
  </w:num>
  <w:num w:numId="18" w16cid:durableId="304311582">
    <w:abstractNumId w:val="1"/>
  </w:num>
  <w:num w:numId="19" w16cid:durableId="984164150">
    <w:abstractNumId w:val="5"/>
  </w:num>
  <w:num w:numId="20" w16cid:durableId="92330306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E"/>
    <w:rsid w:val="00000332"/>
    <w:rsid w:val="00000657"/>
    <w:rsid w:val="00000EC5"/>
    <w:rsid w:val="00000F25"/>
    <w:rsid w:val="000011E0"/>
    <w:rsid w:val="00001226"/>
    <w:rsid w:val="000012BF"/>
    <w:rsid w:val="0000197A"/>
    <w:rsid w:val="00001DE6"/>
    <w:rsid w:val="00002160"/>
    <w:rsid w:val="000026CA"/>
    <w:rsid w:val="00002762"/>
    <w:rsid w:val="00002782"/>
    <w:rsid w:val="00002A7A"/>
    <w:rsid w:val="00002AB3"/>
    <w:rsid w:val="00002ACB"/>
    <w:rsid w:val="00002D7F"/>
    <w:rsid w:val="0000307D"/>
    <w:rsid w:val="00003152"/>
    <w:rsid w:val="0000315A"/>
    <w:rsid w:val="00003556"/>
    <w:rsid w:val="000035AA"/>
    <w:rsid w:val="000037F2"/>
    <w:rsid w:val="00003B3A"/>
    <w:rsid w:val="00003F78"/>
    <w:rsid w:val="000040D6"/>
    <w:rsid w:val="0000412F"/>
    <w:rsid w:val="00004304"/>
    <w:rsid w:val="00004477"/>
    <w:rsid w:val="00004821"/>
    <w:rsid w:val="0000482E"/>
    <w:rsid w:val="00004C28"/>
    <w:rsid w:val="000051D5"/>
    <w:rsid w:val="00005656"/>
    <w:rsid w:val="000057F9"/>
    <w:rsid w:val="000059EB"/>
    <w:rsid w:val="000063E8"/>
    <w:rsid w:val="00006841"/>
    <w:rsid w:val="00006B24"/>
    <w:rsid w:val="00006DC6"/>
    <w:rsid w:val="000070FE"/>
    <w:rsid w:val="0000785A"/>
    <w:rsid w:val="0000797E"/>
    <w:rsid w:val="000079A6"/>
    <w:rsid w:val="00007D3A"/>
    <w:rsid w:val="000101B7"/>
    <w:rsid w:val="00010476"/>
    <w:rsid w:val="000110FF"/>
    <w:rsid w:val="00011259"/>
    <w:rsid w:val="000116F7"/>
    <w:rsid w:val="00011D17"/>
    <w:rsid w:val="00011E4B"/>
    <w:rsid w:val="000124BD"/>
    <w:rsid w:val="00013B3D"/>
    <w:rsid w:val="00013EAB"/>
    <w:rsid w:val="00013ECF"/>
    <w:rsid w:val="00014021"/>
    <w:rsid w:val="00014391"/>
    <w:rsid w:val="000147AE"/>
    <w:rsid w:val="00014935"/>
    <w:rsid w:val="00014A4B"/>
    <w:rsid w:val="00014C73"/>
    <w:rsid w:val="00015063"/>
    <w:rsid w:val="0001522E"/>
    <w:rsid w:val="000157F0"/>
    <w:rsid w:val="00015A68"/>
    <w:rsid w:val="00016209"/>
    <w:rsid w:val="000162C8"/>
    <w:rsid w:val="000162FE"/>
    <w:rsid w:val="00016936"/>
    <w:rsid w:val="00016D33"/>
    <w:rsid w:val="00016F95"/>
    <w:rsid w:val="00017252"/>
    <w:rsid w:val="0001732B"/>
    <w:rsid w:val="0001738C"/>
    <w:rsid w:val="0001753D"/>
    <w:rsid w:val="000179A0"/>
    <w:rsid w:val="00017A82"/>
    <w:rsid w:val="00017F7F"/>
    <w:rsid w:val="0002016C"/>
    <w:rsid w:val="00020F6C"/>
    <w:rsid w:val="00020FCE"/>
    <w:rsid w:val="00021057"/>
    <w:rsid w:val="000215EC"/>
    <w:rsid w:val="00021603"/>
    <w:rsid w:val="000216D0"/>
    <w:rsid w:val="00021BCA"/>
    <w:rsid w:val="00021D4E"/>
    <w:rsid w:val="00021E87"/>
    <w:rsid w:val="00022681"/>
    <w:rsid w:val="00022941"/>
    <w:rsid w:val="00022CB4"/>
    <w:rsid w:val="00022CC0"/>
    <w:rsid w:val="00022E35"/>
    <w:rsid w:val="0002331F"/>
    <w:rsid w:val="000233F2"/>
    <w:rsid w:val="000235FE"/>
    <w:rsid w:val="000236C0"/>
    <w:rsid w:val="000239AE"/>
    <w:rsid w:val="00023D15"/>
    <w:rsid w:val="000241B6"/>
    <w:rsid w:val="000245A1"/>
    <w:rsid w:val="000248CB"/>
    <w:rsid w:val="00024C38"/>
    <w:rsid w:val="00024D92"/>
    <w:rsid w:val="00024FA8"/>
    <w:rsid w:val="00025298"/>
    <w:rsid w:val="00025402"/>
    <w:rsid w:val="00025F72"/>
    <w:rsid w:val="00025F76"/>
    <w:rsid w:val="000260E2"/>
    <w:rsid w:val="00026436"/>
    <w:rsid w:val="00026462"/>
    <w:rsid w:val="000267AF"/>
    <w:rsid w:val="000269FB"/>
    <w:rsid w:val="00026A02"/>
    <w:rsid w:val="00026B3E"/>
    <w:rsid w:val="000274BD"/>
    <w:rsid w:val="00027823"/>
    <w:rsid w:val="00027C2D"/>
    <w:rsid w:val="000302A9"/>
    <w:rsid w:val="000304A6"/>
    <w:rsid w:val="00030506"/>
    <w:rsid w:val="00030546"/>
    <w:rsid w:val="0003056C"/>
    <w:rsid w:val="00030801"/>
    <w:rsid w:val="00030C7E"/>
    <w:rsid w:val="00030D03"/>
    <w:rsid w:val="00030DAF"/>
    <w:rsid w:val="000311C1"/>
    <w:rsid w:val="000317C1"/>
    <w:rsid w:val="00031986"/>
    <w:rsid w:val="00031FD7"/>
    <w:rsid w:val="0003203B"/>
    <w:rsid w:val="000321B7"/>
    <w:rsid w:val="00032520"/>
    <w:rsid w:val="000328A0"/>
    <w:rsid w:val="00032E04"/>
    <w:rsid w:val="00033161"/>
    <w:rsid w:val="000331FD"/>
    <w:rsid w:val="0003327C"/>
    <w:rsid w:val="000335A1"/>
    <w:rsid w:val="000339F0"/>
    <w:rsid w:val="00033DEB"/>
    <w:rsid w:val="000349EC"/>
    <w:rsid w:val="00034CA9"/>
    <w:rsid w:val="00035144"/>
    <w:rsid w:val="0003588D"/>
    <w:rsid w:val="00035961"/>
    <w:rsid w:val="00035DBB"/>
    <w:rsid w:val="00035F9A"/>
    <w:rsid w:val="00035FC1"/>
    <w:rsid w:val="00036173"/>
    <w:rsid w:val="00036215"/>
    <w:rsid w:val="00036249"/>
    <w:rsid w:val="0003662C"/>
    <w:rsid w:val="000367E5"/>
    <w:rsid w:val="00036EEC"/>
    <w:rsid w:val="00036F67"/>
    <w:rsid w:val="00037047"/>
    <w:rsid w:val="000372A5"/>
    <w:rsid w:val="00037366"/>
    <w:rsid w:val="000373E3"/>
    <w:rsid w:val="0003774E"/>
    <w:rsid w:val="00037AC6"/>
    <w:rsid w:val="000401AE"/>
    <w:rsid w:val="00040718"/>
    <w:rsid w:val="00040758"/>
    <w:rsid w:val="00040902"/>
    <w:rsid w:val="00040BC1"/>
    <w:rsid w:val="00040D81"/>
    <w:rsid w:val="00041100"/>
    <w:rsid w:val="0004173D"/>
    <w:rsid w:val="00042073"/>
    <w:rsid w:val="00042269"/>
    <w:rsid w:val="0004252C"/>
    <w:rsid w:val="0004299D"/>
    <w:rsid w:val="00042D2F"/>
    <w:rsid w:val="00042D83"/>
    <w:rsid w:val="00043139"/>
    <w:rsid w:val="00043755"/>
    <w:rsid w:val="00043AF4"/>
    <w:rsid w:val="00044256"/>
    <w:rsid w:val="000447C0"/>
    <w:rsid w:val="000447D8"/>
    <w:rsid w:val="000448C0"/>
    <w:rsid w:val="000451E9"/>
    <w:rsid w:val="00046288"/>
    <w:rsid w:val="00046C09"/>
    <w:rsid w:val="00046FCD"/>
    <w:rsid w:val="00047912"/>
    <w:rsid w:val="00047D0A"/>
    <w:rsid w:val="00047E83"/>
    <w:rsid w:val="00050726"/>
    <w:rsid w:val="00050971"/>
    <w:rsid w:val="000511F7"/>
    <w:rsid w:val="00051351"/>
    <w:rsid w:val="000514F0"/>
    <w:rsid w:val="00051CA3"/>
    <w:rsid w:val="00051D3E"/>
    <w:rsid w:val="00051D45"/>
    <w:rsid w:val="00051E9E"/>
    <w:rsid w:val="00051EE1"/>
    <w:rsid w:val="000520DB"/>
    <w:rsid w:val="00052AC0"/>
    <w:rsid w:val="00052B52"/>
    <w:rsid w:val="00052CD5"/>
    <w:rsid w:val="00053271"/>
    <w:rsid w:val="00053471"/>
    <w:rsid w:val="0005360B"/>
    <w:rsid w:val="000537EE"/>
    <w:rsid w:val="0005389B"/>
    <w:rsid w:val="00053B97"/>
    <w:rsid w:val="00053E3F"/>
    <w:rsid w:val="0005486F"/>
    <w:rsid w:val="00054FCC"/>
    <w:rsid w:val="0005527A"/>
    <w:rsid w:val="00055417"/>
    <w:rsid w:val="000554A3"/>
    <w:rsid w:val="000554FD"/>
    <w:rsid w:val="0005552A"/>
    <w:rsid w:val="000556E7"/>
    <w:rsid w:val="0005570B"/>
    <w:rsid w:val="00055D87"/>
    <w:rsid w:val="00055EBE"/>
    <w:rsid w:val="00055EF2"/>
    <w:rsid w:val="00056097"/>
    <w:rsid w:val="0005622E"/>
    <w:rsid w:val="0005656F"/>
    <w:rsid w:val="00056EF0"/>
    <w:rsid w:val="00057316"/>
    <w:rsid w:val="00057358"/>
    <w:rsid w:val="0005751C"/>
    <w:rsid w:val="00057802"/>
    <w:rsid w:val="00057E02"/>
    <w:rsid w:val="00057FBE"/>
    <w:rsid w:val="000602C3"/>
    <w:rsid w:val="000606AB"/>
    <w:rsid w:val="00060A04"/>
    <w:rsid w:val="000610CB"/>
    <w:rsid w:val="000612EB"/>
    <w:rsid w:val="0006178C"/>
    <w:rsid w:val="00061BDA"/>
    <w:rsid w:val="00061E0A"/>
    <w:rsid w:val="0006209A"/>
    <w:rsid w:val="0006249E"/>
    <w:rsid w:val="000624C6"/>
    <w:rsid w:val="000629CA"/>
    <w:rsid w:val="00062E7A"/>
    <w:rsid w:val="00062FD9"/>
    <w:rsid w:val="0006342E"/>
    <w:rsid w:val="00063723"/>
    <w:rsid w:val="0006394C"/>
    <w:rsid w:val="00063976"/>
    <w:rsid w:val="000639D3"/>
    <w:rsid w:val="00063A0D"/>
    <w:rsid w:val="00064099"/>
    <w:rsid w:val="00064704"/>
    <w:rsid w:val="0006530F"/>
    <w:rsid w:val="00065C76"/>
    <w:rsid w:val="00065C96"/>
    <w:rsid w:val="00065D38"/>
    <w:rsid w:val="00065EBD"/>
    <w:rsid w:val="00066182"/>
    <w:rsid w:val="000666F8"/>
    <w:rsid w:val="00066DAB"/>
    <w:rsid w:val="0006727C"/>
    <w:rsid w:val="00067605"/>
    <w:rsid w:val="00067652"/>
    <w:rsid w:val="00067762"/>
    <w:rsid w:val="00067D8E"/>
    <w:rsid w:val="00067EA2"/>
    <w:rsid w:val="000701DC"/>
    <w:rsid w:val="000703D4"/>
    <w:rsid w:val="000707B3"/>
    <w:rsid w:val="00070BFA"/>
    <w:rsid w:val="00070DCC"/>
    <w:rsid w:val="00070E13"/>
    <w:rsid w:val="000710DF"/>
    <w:rsid w:val="0007110A"/>
    <w:rsid w:val="0007112E"/>
    <w:rsid w:val="0007225D"/>
    <w:rsid w:val="000725C3"/>
    <w:rsid w:val="000725DD"/>
    <w:rsid w:val="00072D24"/>
    <w:rsid w:val="00072E09"/>
    <w:rsid w:val="000735DA"/>
    <w:rsid w:val="000737ED"/>
    <w:rsid w:val="00073F0A"/>
    <w:rsid w:val="0007410D"/>
    <w:rsid w:val="00074547"/>
    <w:rsid w:val="00074929"/>
    <w:rsid w:val="00074C52"/>
    <w:rsid w:val="00074D95"/>
    <w:rsid w:val="00074ECB"/>
    <w:rsid w:val="000750F8"/>
    <w:rsid w:val="00075343"/>
    <w:rsid w:val="00075A18"/>
    <w:rsid w:val="00076294"/>
    <w:rsid w:val="0007670D"/>
    <w:rsid w:val="0007674F"/>
    <w:rsid w:val="00076A49"/>
    <w:rsid w:val="00076A74"/>
    <w:rsid w:val="00076C94"/>
    <w:rsid w:val="00076D7D"/>
    <w:rsid w:val="000770BD"/>
    <w:rsid w:val="00077772"/>
    <w:rsid w:val="000778AC"/>
    <w:rsid w:val="00077CCB"/>
    <w:rsid w:val="00077CCF"/>
    <w:rsid w:val="00077D8A"/>
    <w:rsid w:val="000806AC"/>
    <w:rsid w:val="0008076D"/>
    <w:rsid w:val="00080DCF"/>
    <w:rsid w:val="00080F25"/>
    <w:rsid w:val="00081115"/>
    <w:rsid w:val="00081656"/>
    <w:rsid w:val="00081796"/>
    <w:rsid w:val="0008187F"/>
    <w:rsid w:val="00081E09"/>
    <w:rsid w:val="000821AC"/>
    <w:rsid w:val="00082395"/>
    <w:rsid w:val="0008248D"/>
    <w:rsid w:val="000827E3"/>
    <w:rsid w:val="00082856"/>
    <w:rsid w:val="000828EF"/>
    <w:rsid w:val="00083373"/>
    <w:rsid w:val="00083577"/>
    <w:rsid w:val="00083689"/>
    <w:rsid w:val="0008402F"/>
    <w:rsid w:val="000840BD"/>
    <w:rsid w:val="00084515"/>
    <w:rsid w:val="0008499A"/>
    <w:rsid w:val="00084D94"/>
    <w:rsid w:val="00085B21"/>
    <w:rsid w:val="00085BD5"/>
    <w:rsid w:val="00086219"/>
    <w:rsid w:val="00086277"/>
    <w:rsid w:val="00086365"/>
    <w:rsid w:val="000864DC"/>
    <w:rsid w:val="000865D7"/>
    <w:rsid w:val="00086A0D"/>
    <w:rsid w:val="00086ABC"/>
    <w:rsid w:val="00086FC4"/>
    <w:rsid w:val="000871B7"/>
    <w:rsid w:val="00087502"/>
    <w:rsid w:val="000876AF"/>
    <w:rsid w:val="0008776B"/>
    <w:rsid w:val="0008791C"/>
    <w:rsid w:val="00087F96"/>
    <w:rsid w:val="000902C5"/>
    <w:rsid w:val="0009073E"/>
    <w:rsid w:val="00090F37"/>
    <w:rsid w:val="0009149C"/>
    <w:rsid w:val="00091842"/>
    <w:rsid w:val="00091F66"/>
    <w:rsid w:val="000923AC"/>
    <w:rsid w:val="00092668"/>
    <w:rsid w:val="00092ECE"/>
    <w:rsid w:val="00093223"/>
    <w:rsid w:val="0009330C"/>
    <w:rsid w:val="00093399"/>
    <w:rsid w:val="000934BC"/>
    <w:rsid w:val="000936C3"/>
    <w:rsid w:val="00093850"/>
    <w:rsid w:val="00093905"/>
    <w:rsid w:val="00093A36"/>
    <w:rsid w:val="000940FE"/>
    <w:rsid w:val="0009420D"/>
    <w:rsid w:val="00094279"/>
    <w:rsid w:val="00094708"/>
    <w:rsid w:val="00094A74"/>
    <w:rsid w:val="00094E48"/>
    <w:rsid w:val="000950EC"/>
    <w:rsid w:val="0009532E"/>
    <w:rsid w:val="00095A14"/>
    <w:rsid w:val="00095F96"/>
    <w:rsid w:val="00096413"/>
    <w:rsid w:val="00096533"/>
    <w:rsid w:val="000968C6"/>
    <w:rsid w:val="000969C6"/>
    <w:rsid w:val="00096BFE"/>
    <w:rsid w:val="00096D83"/>
    <w:rsid w:val="00096DCE"/>
    <w:rsid w:val="00097728"/>
    <w:rsid w:val="00097918"/>
    <w:rsid w:val="00097A01"/>
    <w:rsid w:val="00097AF5"/>
    <w:rsid w:val="00097B1F"/>
    <w:rsid w:val="000A0091"/>
    <w:rsid w:val="000A03EF"/>
    <w:rsid w:val="000A059A"/>
    <w:rsid w:val="000A0CC7"/>
    <w:rsid w:val="000A0DF9"/>
    <w:rsid w:val="000A0F22"/>
    <w:rsid w:val="000A16F8"/>
    <w:rsid w:val="000A17C2"/>
    <w:rsid w:val="000A1EF4"/>
    <w:rsid w:val="000A1F2F"/>
    <w:rsid w:val="000A20CC"/>
    <w:rsid w:val="000A236E"/>
    <w:rsid w:val="000A2C18"/>
    <w:rsid w:val="000A2C26"/>
    <w:rsid w:val="000A2CEE"/>
    <w:rsid w:val="000A32EC"/>
    <w:rsid w:val="000A3415"/>
    <w:rsid w:val="000A34E3"/>
    <w:rsid w:val="000A3525"/>
    <w:rsid w:val="000A3862"/>
    <w:rsid w:val="000A3FD7"/>
    <w:rsid w:val="000A401F"/>
    <w:rsid w:val="000A420B"/>
    <w:rsid w:val="000A43D2"/>
    <w:rsid w:val="000A4C0A"/>
    <w:rsid w:val="000A4E9B"/>
    <w:rsid w:val="000A4EC2"/>
    <w:rsid w:val="000A5543"/>
    <w:rsid w:val="000A56C5"/>
    <w:rsid w:val="000A5769"/>
    <w:rsid w:val="000A5792"/>
    <w:rsid w:val="000A5858"/>
    <w:rsid w:val="000A59FF"/>
    <w:rsid w:val="000A5AEF"/>
    <w:rsid w:val="000A5BE3"/>
    <w:rsid w:val="000A61BD"/>
    <w:rsid w:val="000A6209"/>
    <w:rsid w:val="000A6253"/>
    <w:rsid w:val="000A63E5"/>
    <w:rsid w:val="000A6642"/>
    <w:rsid w:val="000A6863"/>
    <w:rsid w:val="000A68FE"/>
    <w:rsid w:val="000A6916"/>
    <w:rsid w:val="000A6F96"/>
    <w:rsid w:val="000A712C"/>
    <w:rsid w:val="000A7145"/>
    <w:rsid w:val="000A7B9A"/>
    <w:rsid w:val="000A7D24"/>
    <w:rsid w:val="000B00C3"/>
    <w:rsid w:val="000B040F"/>
    <w:rsid w:val="000B0B0D"/>
    <w:rsid w:val="000B0CCE"/>
    <w:rsid w:val="000B12A3"/>
    <w:rsid w:val="000B133E"/>
    <w:rsid w:val="000B1578"/>
    <w:rsid w:val="000B159D"/>
    <w:rsid w:val="000B15BA"/>
    <w:rsid w:val="000B1709"/>
    <w:rsid w:val="000B1A53"/>
    <w:rsid w:val="000B1D6E"/>
    <w:rsid w:val="000B21DF"/>
    <w:rsid w:val="000B26EA"/>
    <w:rsid w:val="000B2896"/>
    <w:rsid w:val="000B299E"/>
    <w:rsid w:val="000B2A42"/>
    <w:rsid w:val="000B2B35"/>
    <w:rsid w:val="000B2BBB"/>
    <w:rsid w:val="000B2DCF"/>
    <w:rsid w:val="000B36E1"/>
    <w:rsid w:val="000B3809"/>
    <w:rsid w:val="000B3B80"/>
    <w:rsid w:val="000B3B89"/>
    <w:rsid w:val="000B3E68"/>
    <w:rsid w:val="000B3E86"/>
    <w:rsid w:val="000B3F48"/>
    <w:rsid w:val="000B40D7"/>
    <w:rsid w:val="000B4624"/>
    <w:rsid w:val="000B467C"/>
    <w:rsid w:val="000B49F0"/>
    <w:rsid w:val="000B4A06"/>
    <w:rsid w:val="000B4B08"/>
    <w:rsid w:val="000B4B7C"/>
    <w:rsid w:val="000B4B8E"/>
    <w:rsid w:val="000B50E9"/>
    <w:rsid w:val="000B5C49"/>
    <w:rsid w:val="000B5D7C"/>
    <w:rsid w:val="000B605B"/>
    <w:rsid w:val="000B6457"/>
    <w:rsid w:val="000B6603"/>
    <w:rsid w:val="000B688C"/>
    <w:rsid w:val="000B6928"/>
    <w:rsid w:val="000B6BB0"/>
    <w:rsid w:val="000B6C55"/>
    <w:rsid w:val="000B6EB0"/>
    <w:rsid w:val="000B7089"/>
    <w:rsid w:val="000B72BC"/>
    <w:rsid w:val="000B7401"/>
    <w:rsid w:val="000B75D8"/>
    <w:rsid w:val="000B768B"/>
    <w:rsid w:val="000B7C7E"/>
    <w:rsid w:val="000B7D86"/>
    <w:rsid w:val="000C0444"/>
    <w:rsid w:val="000C09C1"/>
    <w:rsid w:val="000C0B3C"/>
    <w:rsid w:val="000C0FF7"/>
    <w:rsid w:val="000C1295"/>
    <w:rsid w:val="000C1443"/>
    <w:rsid w:val="000C1563"/>
    <w:rsid w:val="000C175E"/>
    <w:rsid w:val="000C189A"/>
    <w:rsid w:val="000C2201"/>
    <w:rsid w:val="000C228B"/>
    <w:rsid w:val="000C23A0"/>
    <w:rsid w:val="000C296C"/>
    <w:rsid w:val="000C2A21"/>
    <w:rsid w:val="000C2CDD"/>
    <w:rsid w:val="000C33EC"/>
    <w:rsid w:val="000C3459"/>
    <w:rsid w:val="000C371E"/>
    <w:rsid w:val="000C3C05"/>
    <w:rsid w:val="000C3D1F"/>
    <w:rsid w:val="000C4167"/>
    <w:rsid w:val="000C450A"/>
    <w:rsid w:val="000C4633"/>
    <w:rsid w:val="000C4846"/>
    <w:rsid w:val="000C4A2D"/>
    <w:rsid w:val="000C4A41"/>
    <w:rsid w:val="000C4C2B"/>
    <w:rsid w:val="000C549A"/>
    <w:rsid w:val="000C5C9E"/>
    <w:rsid w:val="000C6068"/>
    <w:rsid w:val="000C72CB"/>
    <w:rsid w:val="000C7412"/>
    <w:rsid w:val="000C7797"/>
    <w:rsid w:val="000C78AF"/>
    <w:rsid w:val="000C7919"/>
    <w:rsid w:val="000C7A3E"/>
    <w:rsid w:val="000C7B0D"/>
    <w:rsid w:val="000C7FF2"/>
    <w:rsid w:val="000D0562"/>
    <w:rsid w:val="000D061A"/>
    <w:rsid w:val="000D0995"/>
    <w:rsid w:val="000D0B69"/>
    <w:rsid w:val="000D0DE0"/>
    <w:rsid w:val="000D116E"/>
    <w:rsid w:val="000D11A7"/>
    <w:rsid w:val="000D1551"/>
    <w:rsid w:val="000D164D"/>
    <w:rsid w:val="000D1CA9"/>
    <w:rsid w:val="000D21A5"/>
    <w:rsid w:val="000D224D"/>
    <w:rsid w:val="000D2324"/>
    <w:rsid w:val="000D2395"/>
    <w:rsid w:val="000D2633"/>
    <w:rsid w:val="000D26CE"/>
    <w:rsid w:val="000D2D41"/>
    <w:rsid w:val="000D34D2"/>
    <w:rsid w:val="000D3753"/>
    <w:rsid w:val="000D3A3F"/>
    <w:rsid w:val="000D3B38"/>
    <w:rsid w:val="000D3BEF"/>
    <w:rsid w:val="000D3E87"/>
    <w:rsid w:val="000D4263"/>
    <w:rsid w:val="000D4B73"/>
    <w:rsid w:val="000D52D2"/>
    <w:rsid w:val="000D5326"/>
    <w:rsid w:val="000D5447"/>
    <w:rsid w:val="000D5634"/>
    <w:rsid w:val="000D5BAF"/>
    <w:rsid w:val="000D5BD0"/>
    <w:rsid w:val="000D60EF"/>
    <w:rsid w:val="000D642B"/>
    <w:rsid w:val="000D6550"/>
    <w:rsid w:val="000D6A19"/>
    <w:rsid w:val="000D7B34"/>
    <w:rsid w:val="000D7B70"/>
    <w:rsid w:val="000D7FE6"/>
    <w:rsid w:val="000E008D"/>
    <w:rsid w:val="000E02A7"/>
    <w:rsid w:val="000E0651"/>
    <w:rsid w:val="000E0C5B"/>
    <w:rsid w:val="000E1D7B"/>
    <w:rsid w:val="000E23FB"/>
    <w:rsid w:val="000E287C"/>
    <w:rsid w:val="000E2B10"/>
    <w:rsid w:val="000E2B7F"/>
    <w:rsid w:val="000E2F36"/>
    <w:rsid w:val="000E2F3E"/>
    <w:rsid w:val="000E3633"/>
    <w:rsid w:val="000E37AE"/>
    <w:rsid w:val="000E380A"/>
    <w:rsid w:val="000E4B95"/>
    <w:rsid w:val="000E4D31"/>
    <w:rsid w:val="000E4D5A"/>
    <w:rsid w:val="000E4D5B"/>
    <w:rsid w:val="000E508C"/>
    <w:rsid w:val="000E51C4"/>
    <w:rsid w:val="000E54B7"/>
    <w:rsid w:val="000E5E3F"/>
    <w:rsid w:val="000E6014"/>
    <w:rsid w:val="000E6315"/>
    <w:rsid w:val="000E637E"/>
    <w:rsid w:val="000E6495"/>
    <w:rsid w:val="000E65DE"/>
    <w:rsid w:val="000E6657"/>
    <w:rsid w:val="000E66C4"/>
    <w:rsid w:val="000E7067"/>
    <w:rsid w:val="000E70BD"/>
    <w:rsid w:val="000E71B3"/>
    <w:rsid w:val="000E75AE"/>
    <w:rsid w:val="000E77B2"/>
    <w:rsid w:val="000E7E79"/>
    <w:rsid w:val="000F01BF"/>
    <w:rsid w:val="000F02A4"/>
    <w:rsid w:val="000F0305"/>
    <w:rsid w:val="000F036B"/>
    <w:rsid w:val="000F08CD"/>
    <w:rsid w:val="000F0903"/>
    <w:rsid w:val="000F1240"/>
    <w:rsid w:val="000F170F"/>
    <w:rsid w:val="000F18E6"/>
    <w:rsid w:val="000F1928"/>
    <w:rsid w:val="000F19D2"/>
    <w:rsid w:val="000F1A5A"/>
    <w:rsid w:val="000F1B89"/>
    <w:rsid w:val="000F1EC9"/>
    <w:rsid w:val="000F1FE0"/>
    <w:rsid w:val="000F209B"/>
    <w:rsid w:val="000F2465"/>
    <w:rsid w:val="000F250C"/>
    <w:rsid w:val="000F2699"/>
    <w:rsid w:val="000F2FF2"/>
    <w:rsid w:val="000F301B"/>
    <w:rsid w:val="000F3182"/>
    <w:rsid w:val="000F323F"/>
    <w:rsid w:val="000F3B3D"/>
    <w:rsid w:val="000F3BF9"/>
    <w:rsid w:val="000F42B8"/>
    <w:rsid w:val="000F42FE"/>
    <w:rsid w:val="000F47B7"/>
    <w:rsid w:val="000F47FA"/>
    <w:rsid w:val="000F4915"/>
    <w:rsid w:val="000F503D"/>
    <w:rsid w:val="000F50B1"/>
    <w:rsid w:val="000F5243"/>
    <w:rsid w:val="000F5611"/>
    <w:rsid w:val="000F5756"/>
    <w:rsid w:val="000F5849"/>
    <w:rsid w:val="000F5990"/>
    <w:rsid w:val="000F5A93"/>
    <w:rsid w:val="000F5B4B"/>
    <w:rsid w:val="000F5C11"/>
    <w:rsid w:val="000F5C94"/>
    <w:rsid w:val="000F5E36"/>
    <w:rsid w:val="000F5E6B"/>
    <w:rsid w:val="000F5FB6"/>
    <w:rsid w:val="000F621D"/>
    <w:rsid w:val="000F65B8"/>
    <w:rsid w:val="000F66FD"/>
    <w:rsid w:val="000F6A3E"/>
    <w:rsid w:val="000F6AD7"/>
    <w:rsid w:val="000F6D48"/>
    <w:rsid w:val="000F6F89"/>
    <w:rsid w:val="000F7680"/>
    <w:rsid w:val="000F76CE"/>
    <w:rsid w:val="000F7A86"/>
    <w:rsid w:val="000F7ABD"/>
    <w:rsid w:val="000F7D14"/>
    <w:rsid w:val="00100326"/>
    <w:rsid w:val="0010045E"/>
    <w:rsid w:val="00100E34"/>
    <w:rsid w:val="00100E35"/>
    <w:rsid w:val="001012DC"/>
    <w:rsid w:val="00101CD5"/>
    <w:rsid w:val="0010201F"/>
    <w:rsid w:val="001026C1"/>
    <w:rsid w:val="001026DA"/>
    <w:rsid w:val="00102756"/>
    <w:rsid w:val="00103143"/>
    <w:rsid w:val="00103224"/>
    <w:rsid w:val="00103344"/>
    <w:rsid w:val="001035FB"/>
    <w:rsid w:val="0010369F"/>
    <w:rsid w:val="00103851"/>
    <w:rsid w:val="00103DA1"/>
    <w:rsid w:val="00104027"/>
    <w:rsid w:val="0010479C"/>
    <w:rsid w:val="00104927"/>
    <w:rsid w:val="00104B45"/>
    <w:rsid w:val="00104DC8"/>
    <w:rsid w:val="0010549E"/>
    <w:rsid w:val="00105535"/>
    <w:rsid w:val="001057BB"/>
    <w:rsid w:val="001057E5"/>
    <w:rsid w:val="0010597E"/>
    <w:rsid w:val="00105D83"/>
    <w:rsid w:val="00105E40"/>
    <w:rsid w:val="00105F38"/>
    <w:rsid w:val="00105FC1"/>
    <w:rsid w:val="0010610E"/>
    <w:rsid w:val="0010647D"/>
    <w:rsid w:val="0010665B"/>
    <w:rsid w:val="00106B03"/>
    <w:rsid w:val="00106FCB"/>
    <w:rsid w:val="00107025"/>
    <w:rsid w:val="00107042"/>
    <w:rsid w:val="001073A4"/>
    <w:rsid w:val="00107C87"/>
    <w:rsid w:val="00107D6D"/>
    <w:rsid w:val="00107E87"/>
    <w:rsid w:val="00107F80"/>
    <w:rsid w:val="00110465"/>
    <w:rsid w:val="0011053B"/>
    <w:rsid w:val="0011078F"/>
    <w:rsid w:val="00110CEB"/>
    <w:rsid w:val="00110D05"/>
    <w:rsid w:val="00110D3A"/>
    <w:rsid w:val="001117B8"/>
    <w:rsid w:val="00111892"/>
    <w:rsid w:val="00111BD4"/>
    <w:rsid w:val="00112211"/>
    <w:rsid w:val="00112564"/>
    <w:rsid w:val="00112D97"/>
    <w:rsid w:val="0011319A"/>
    <w:rsid w:val="001131BA"/>
    <w:rsid w:val="00113316"/>
    <w:rsid w:val="001135AA"/>
    <w:rsid w:val="00113A58"/>
    <w:rsid w:val="00113C3A"/>
    <w:rsid w:val="00113C66"/>
    <w:rsid w:val="00113E56"/>
    <w:rsid w:val="00114103"/>
    <w:rsid w:val="0011416C"/>
    <w:rsid w:val="00114285"/>
    <w:rsid w:val="0011493D"/>
    <w:rsid w:val="00114A09"/>
    <w:rsid w:val="00114A8A"/>
    <w:rsid w:val="00114E8C"/>
    <w:rsid w:val="00114F05"/>
    <w:rsid w:val="00114FC7"/>
    <w:rsid w:val="00115074"/>
    <w:rsid w:val="00115123"/>
    <w:rsid w:val="00115234"/>
    <w:rsid w:val="0011545C"/>
    <w:rsid w:val="001154DB"/>
    <w:rsid w:val="00115538"/>
    <w:rsid w:val="001157E7"/>
    <w:rsid w:val="001158EF"/>
    <w:rsid w:val="00115B00"/>
    <w:rsid w:val="00116603"/>
    <w:rsid w:val="00116780"/>
    <w:rsid w:val="001168E0"/>
    <w:rsid w:val="00116EF4"/>
    <w:rsid w:val="001175F1"/>
    <w:rsid w:val="00117801"/>
    <w:rsid w:val="00117A2B"/>
    <w:rsid w:val="00117C48"/>
    <w:rsid w:val="00117DE9"/>
    <w:rsid w:val="00120197"/>
    <w:rsid w:val="001201CD"/>
    <w:rsid w:val="0012035B"/>
    <w:rsid w:val="001204A4"/>
    <w:rsid w:val="001205E0"/>
    <w:rsid w:val="001206F9"/>
    <w:rsid w:val="00120B10"/>
    <w:rsid w:val="00120C9E"/>
    <w:rsid w:val="00120F29"/>
    <w:rsid w:val="00120FF7"/>
    <w:rsid w:val="001210AF"/>
    <w:rsid w:val="0012160C"/>
    <w:rsid w:val="00121656"/>
    <w:rsid w:val="001219F4"/>
    <w:rsid w:val="00121E41"/>
    <w:rsid w:val="00121FEE"/>
    <w:rsid w:val="00122140"/>
    <w:rsid w:val="00122323"/>
    <w:rsid w:val="00122BBA"/>
    <w:rsid w:val="00122EFC"/>
    <w:rsid w:val="00122FA8"/>
    <w:rsid w:val="001232AC"/>
    <w:rsid w:val="0012330E"/>
    <w:rsid w:val="00123594"/>
    <w:rsid w:val="0012371B"/>
    <w:rsid w:val="001237F7"/>
    <w:rsid w:val="00123876"/>
    <w:rsid w:val="001238E1"/>
    <w:rsid w:val="00123B45"/>
    <w:rsid w:val="00123CF7"/>
    <w:rsid w:val="00123F68"/>
    <w:rsid w:val="00124703"/>
    <w:rsid w:val="00124DD8"/>
    <w:rsid w:val="001253BE"/>
    <w:rsid w:val="001254AB"/>
    <w:rsid w:val="001254FA"/>
    <w:rsid w:val="0012561D"/>
    <w:rsid w:val="0012571A"/>
    <w:rsid w:val="0012603F"/>
    <w:rsid w:val="00126B5A"/>
    <w:rsid w:val="00127145"/>
    <w:rsid w:val="001271DD"/>
    <w:rsid w:val="0012729E"/>
    <w:rsid w:val="00127775"/>
    <w:rsid w:val="00127A81"/>
    <w:rsid w:val="00127D7E"/>
    <w:rsid w:val="00130387"/>
    <w:rsid w:val="00130EF0"/>
    <w:rsid w:val="00131457"/>
    <w:rsid w:val="0013148E"/>
    <w:rsid w:val="001314AB"/>
    <w:rsid w:val="0013163E"/>
    <w:rsid w:val="00131B58"/>
    <w:rsid w:val="00131FE0"/>
    <w:rsid w:val="00132364"/>
    <w:rsid w:val="0013281A"/>
    <w:rsid w:val="00132B33"/>
    <w:rsid w:val="00132E8C"/>
    <w:rsid w:val="001334CC"/>
    <w:rsid w:val="0013388B"/>
    <w:rsid w:val="001339F9"/>
    <w:rsid w:val="00133B82"/>
    <w:rsid w:val="00133C68"/>
    <w:rsid w:val="00133C7E"/>
    <w:rsid w:val="001349C9"/>
    <w:rsid w:val="00134D7D"/>
    <w:rsid w:val="00135237"/>
    <w:rsid w:val="00135323"/>
    <w:rsid w:val="00135969"/>
    <w:rsid w:val="00135B43"/>
    <w:rsid w:val="00135C3C"/>
    <w:rsid w:val="00135E0B"/>
    <w:rsid w:val="001361A2"/>
    <w:rsid w:val="00136229"/>
    <w:rsid w:val="0013642B"/>
    <w:rsid w:val="001368ED"/>
    <w:rsid w:val="0013698E"/>
    <w:rsid w:val="001369C2"/>
    <w:rsid w:val="00136B98"/>
    <w:rsid w:val="00136EEE"/>
    <w:rsid w:val="00136F55"/>
    <w:rsid w:val="00137B0B"/>
    <w:rsid w:val="00137B58"/>
    <w:rsid w:val="00140C1E"/>
    <w:rsid w:val="00140E83"/>
    <w:rsid w:val="00140FB7"/>
    <w:rsid w:val="00141160"/>
    <w:rsid w:val="00141370"/>
    <w:rsid w:val="0014155D"/>
    <w:rsid w:val="00142134"/>
    <w:rsid w:val="0014216B"/>
    <w:rsid w:val="00142431"/>
    <w:rsid w:val="001424E4"/>
    <w:rsid w:val="0014260B"/>
    <w:rsid w:val="00142FC8"/>
    <w:rsid w:val="001431F8"/>
    <w:rsid w:val="00143389"/>
    <w:rsid w:val="001437CD"/>
    <w:rsid w:val="00143967"/>
    <w:rsid w:val="001440B5"/>
    <w:rsid w:val="001444E2"/>
    <w:rsid w:val="0014476D"/>
    <w:rsid w:val="001449DD"/>
    <w:rsid w:val="00144A61"/>
    <w:rsid w:val="00144B87"/>
    <w:rsid w:val="00144BE1"/>
    <w:rsid w:val="00145883"/>
    <w:rsid w:val="00145B26"/>
    <w:rsid w:val="00145B43"/>
    <w:rsid w:val="00145D5F"/>
    <w:rsid w:val="00145EDA"/>
    <w:rsid w:val="001468D0"/>
    <w:rsid w:val="00146EA0"/>
    <w:rsid w:val="00146FF0"/>
    <w:rsid w:val="00147BC5"/>
    <w:rsid w:val="00147CB5"/>
    <w:rsid w:val="00150334"/>
    <w:rsid w:val="00150AA1"/>
    <w:rsid w:val="00150ADB"/>
    <w:rsid w:val="00150B68"/>
    <w:rsid w:val="00150FA0"/>
    <w:rsid w:val="0015102D"/>
    <w:rsid w:val="00151032"/>
    <w:rsid w:val="001513E3"/>
    <w:rsid w:val="001513EF"/>
    <w:rsid w:val="0015148B"/>
    <w:rsid w:val="00151D4B"/>
    <w:rsid w:val="00151ED9"/>
    <w:rsid w:val="001522F2"/>
    <w:rsid w:val="001527EF"/>
    <w:rsid w:val="00152F0B"/>
    <w:rsid w:val="001530D2"/>
    <w:rsid w:val="001531F0"/>
    <w:rsid w:val="00153356"/>
    <w:rsid w:val="00153426"/>
    <w:rsid w:val="0015400F"/>
    <w:rsid w:val="00154582"/>
    <w:rsid w:val="00154678"/>
    <w:rsid w:val="00155035"/>
    <w:rsid w:val="001552E8"/>
    <w:rsid w:val="0015554C"/>
    <w:rsid w:val="001558C6"/>
    <w:rsid w:val="001559E5"/>
    <w:rsid w:val="00155C09"/>
    <w:rsid w:val="00155CEA"/>
    <w:rsid w:val="00155DBD"/>
    <w:rsid w:val="00155E10"/>
    <w:rsid w:val="00155FEF"/>
    <w:rsid w:val="001561B1"/>
    <w:rsid w:val="001567AD"/>
    <w:rsid w:val="00156887"/>
    <w:rsid w:val="00156A91"/>
    <w:rsid w:val="00156B1C"/>
    <w:rsid w:val="00156EF3"/>
    <w:rsid w:val="001573A7"/>
    <w:rsid w:val="00157447"/>
    <w:rsid w:val="001576E8"/>
    <w:rsid w:val="001605DB"/>
    <w:rsid w:val="001609DC"/>
    <w:rsid w:val="00160D1D"/>
    <w:rsid w:val="001610FE"/>
    <w:rsid w:val="00161344"/>
    <w:rsid w:val="00161657"/>
    <w:rsid w:val="001619CD"/>
    <w:rsid w:val="00161E11"/>
    <w:rsid w:val="0016208D"/>
    <w:rsid w:val="0016253F"/>
    <w:rsid w:val="00162732"/>
    <w:rsid w:val="001627D6"/>
    <w:rsid w:val="00162AF5"/>
    <w:rsid w:val="00162F21"/>
    <w:rsid w:val="0016339C"/>
    <w:rsid w:val="001633F4"/>
    <w:rsid w:val="00163544"/>
    <w:rsid w:val="00163B7D"/>
    <w:rsid w:val="00163CB8"/>
    <w:rsid w:val="00163D42"/>
    <w:rsid w:val="00163D5F"/>
    <w:rsid w:val="00163E0D"/>
    <w:rsid w:val="00163FDD"/>
    <w:rsid w:val="0016431D"/>
    <w:rsid w:val="001643EB"/>
    <w:rsid w:val="001647C1"/>
    <w:rsid w:val="0016482A"/>
    <w:rsid w:val="00164E18"/>
    <w:rsid w:val="00165050"/>
    <w:rsid w:val="00165086"/>
    <w:rsid w:val="0016508A"/>
    <w:rsid w:val="00165197"/>
    <w:rsid w:val="00165325"/>
    <w:rsid w:val="00165354"/>
    <w:rsid w:val="00165698"/>
    <w:rsid w:val="00165C62"/>
    <w:rsid w:val="00165D2C"/>
    <w:rsid w:val="00165D87"/>
    <w:rsid w:val="00165D9C"/>
    <w:rsid w:val="001662C9"/>
    <w:rsid w:val="001664FB"/>
    <w:rsid w:val="00166547"/>
    <w:rsid w:val="00166584"/>
    <w:rsid w:val="00166771"/>
    <w:rsid w:val="00166B04"/>
    <w:rsid w:val="00166B7F"/>
    <w:rsid w:val="00166DBD"/>
    <w:rsid w:val="00166EFB"/>
    <w:rsid w:val="00167141"/>
    <w:rsid w:val="0016762D"/>
    <w:rsid w:val="00167840"/>
    <w:rsid w:val="00167AD7"/>
    <w:rsid w:val="00167D44"/>
    <w:rsid w:val="00167F1C"/>
    <w:rsid w:val="00170213"/>
    <w:rsid w:val="00170422"/>
    <w:rsid w:val="001704D9"/>
    <w:rsid w:val="00170C60"/>
    <w:rsid w:val="00170DDE"/>
    <w:rsid w:val="00170F58"/>
    <w:rsid w:val="00170FB7"/>
    <w:rsid w:val="00170FCB"/>
    <w:rsid w:val="001713F9"/>
    <w:rsid w:val="001719C1"/>
    <w:rsid w:val="00171DDE"/>
    <w:rsid w:val="00171F4C"/>
    <w:rsid w:val="00171F97"/>
    <w:rsid w:val="001721F3"/>
    <w:rsid w:val="00172348"/>
    <w:rsid w:val="00172486"/>
    <w:rsid w:val="001725F9"/>
    <w:rsid w:val="001726E5"/>
    <w:rsid w:val="001729A0"/>
    <w:rsid w:val="00172BED"/>
    <w:rsid w:val="00172EBE"/>
    <w:rsid w:val="00173935"/>
    <w:rsid w:val="00173989"/>
    <w:rsid w:val="00173BE6"/>
    <w:rsid w:val="00173C1D"/>
    <w:rsid w:val="00173C59"/>
    <w:rsid w:val="00173E10"/>
    <w:rsid w:val="0017448C"/>
    <w:rsid w:val="001748D1"/>
    <w:rsid w:val="00174A13"/>
    <w:rsid w:val="00174E75"/>
    <w:rsid w:val="00175226"/>
    <w:rsid w:val="0017559B"/>
    <w:rsid w:val="001755D2"/>
    <w:rsid w:val="00175664"/>
    <w:rsid w:val="00175C78"/>
    <w:rsid w:val="00175D23"/>
    <w:rsid w:val="0017684E"/>
    <w:rsid w:val="00176AF3"/>
    <w:rsid w:val="00176BC1"/>
    <w:rsid w:val="00176D27"/>
    <w:rsid w:val="00177011"/>
    <w:rsid w:val="00177240"/>
    <w:rsid w:val="0018000C"/>
    <w:rsid w:val="0018011D"/>
    <w:rsid w:val="001804D2"/>
    <w:rsid w:val="00180644"/>
    <w:rsid w:val="00180794"/>
    <w:rsid w:val="001808D9"/>
    <w:rsid w:val="00180BDE"/>
    <w:rsid w:val="00180DEE"/>
    <w:rsid w:val="00181057"/>
    <w:rsid w:val="00181656"/>
    <w:rsid w:val="00181681"/>
    <w:rsid w:val="00181C49"/>
    <w:rsid w:val="00181CC9"/>
    <w:rsid w:val="00181D71"/>
    <w:rsid w:val="001830B4"/>
    <w:rsid w:val="001838AB"/>
    <w:rsid w:val="001839EB"/>
    <w:rsid w:val="00183A0E"/>
    <w:rsid w:val="0018413B"/>
    <w:rsid w:val="001849F7"/>
    <w:rsid w:val="00184A4E"/>
    <w:rsid w:val="00184A98"/>
    <w:rsid w:val="00184B08"/>
    <w:rsid w:val="00184D62"/>
    <w:rsid w:val="001855C8"/>
    <w:rsid w:val="00185C35"/>
    <w:rsid w:val="00185E23"/>
    <w:rsid w:val="00185E3C"/>
    <w:rsid w:val="001864FE"/>
    <w:rsid w:val="00186633"/>
    <w:rsid w:val="00187127"/>
    <w:rsid w:val="00187796"/>
    <w:rsid w:val="001901D1"/>
    <w:rsid w:val="00190528"/>
    <w:rsid w:val="00190A8C"/>
    <w:rsid w:val="001911D1"/>
    <w:rsid w:val="0019161C"/>
    <w:rsid w:val="00191880"/>
    <w:rsid w:val="001918EB"/>
    <w:rsid w:val="001919DA"/>
    <w:rsid w:val="00191C59"/>
    <w:rsid w:val="00191F97"/>
    <w:rsid w:val="00191FE5"/>
    <w:rsid w:val="001926E3"/>
    <w:rsid w:val="00192835"/>
    <w:rsid w:val="0019286D"/>
    <w:rsid w:val="00192A6D"/>
    <w:rsid w:val="00192FB9"/>
    <w:rsid w:val="00193E55"/>
    <w:rsid w:val="0019421B"/>
    <w:rsid w:val="001943C8"/>
    <w:rsid w:val="001944D3"/>
    <w:rsid w:val="00194555"/>
    <w:rsid w:val="00194674"/>
    <w:rsid w:val="001946E5"/>
    <w:rsid w:val="001949CC"/>
    <w:rsid w:val="00194E0C"/>
    <w:rsid w:val="00195030"/>
    <w:rsid w:val="00195237"/>
    <w:rsid w:val="0019574D"/>
    <w:rsid w:val="00195D5F"/>
    <w:rsid w:val="00195D8E"/>
    <w:rsid w:val="00196137"/>
    <w:rsid w:val="001964A2"/>
    <w:rsid w:val="001968E1"/>
    <w:rsid w:val="00196992"/>
    <w:rsid w:val="00196E52"/>
    <w:rsid w:val="00196E88"/>
    <w:rsid w:val="00197204"/>
    <w:rsid w:val="00197407"/>
    <w:rsid w:val="0019743B"/>
    <w:rsid w:val="001978DF"/>
    <w:rsid w:val="00197C37"/>
    <w:rsid w:val="00197C8C"/>
    <w:rsid w:val="00197D91"/>
    <w:rsid w:val="00197DDC"/>
    <w:rsid w:val="00197F18"/>
    <w:rsid w:val="001A07AE"/>
    <w:rsid w:val="001A13DD"/>
    <w:rsid w:val="001A1A3B"/>
    <w:rsid w:val="001A1BA7"/>
    <w:rsid w:val="001A1C0F"/>
    <w:rsid w:val="001A1C48"/>
    <w:rsid w:val="001A1E4D"/>
    <w:rsid w:val="001A20D1"/>
    <w:rsid w:val="001A267D"/>
    <w:rsid w:val="001A2C98"/>
    <w:rsid w:val="001A2D1B"/>
    <w:rsid w:val="001A36BD"/>
    <w:rsid w:val="001A376A"/>
    <w:rsid w:val="001A3B33"/>
    <w:rsid w:val="001A3D52"/>
    <w:rsid w:val="001A3D72"/>
    <w:rsid w:val="001A3EE5"/>
    <w:rsid w:val="001A4215"/>
    <w:rsid w:val="001A4277"/>
    <w:rsid w:val="001A485F"/>
    <w:rsid w:val="001A49DC"/>
    <w:rsid w:val="001A4AE2"/>
    <w:rsid w:val="001A4B8A"/>
    <w:rsid w:val="001A4DBB"/>
    <w:rsid w:val="001A51BF"/>
    <w:rsid w:val="001A556D"/>
    <w:rsid w:val="001A5D54"/>
    <w:rsid w:val="001A5EAB"/>
    <w:rsid w:val="001A658C"/>
    <w:rsid w:val="001A6993"/>
    <w:rsid w:val="001A7259"/>
    <w:rsid w:val="001A7301"/>
    <w:rsid w:val="001A763B"/>
    <w:rsid w:val="001A77F8"/>
    <w:rsid w:val="001A7D27"/>
    <w:rsid w:val="001B0145"/>
    <w:rsid w:val="001B03FF"/>
    <w:rsid w:val="001B0455"/>
    <w:rsid w:val="001B048E"/>
    <w:rsid w:val="001B0806"/>
    <w:rsid w:val="001B0914"/>
    <w:rsid w:val="001B09BB"/>
    <w:rsid w:val="001B0B07"/>
    <w:rsid w:val="001B0B9E"/>
    <w:rsid w:val="001B0BD9"/>
    <w:rsid w:val="001B0ED7"/>
    <w:rsid w:val="001B1224"/>
    <w:rsid w:val="001B132C"/>
    <w:rsid w:val="001B1472"/>
    <w:rsid w:val="001B16EA"/>
    <w:rsid w:val="001B1977"/>
    <w:rsid w:val="001B1CC5"/>
    <w:rsid w:val="001B1FD0"/>
    <w:rsid w:val="001B2216"/>
    <w:rsid w:val="001B22FF"/>
    <w:rsid w:val="001B2300"/>
    <w:rsid w:val="001B273B"/>
    <w:rsid w:val="001B2A67"/>
    <w:rsid w:val="001B2B9E"/>
    <w:rsid w:val="001B31A1"/>
    <w:rsid w:val="001B31F8"/>
    <w:rsid w:val="001B3679"/>
    <w:rsid w:val="001B3D81"/>
    <w:rsid w:val="001B408D"/>
    <w:rsid w:val="001B4098"/>
    <w:rsid w:val="001B4106"/>
    <w:rsid w:val="001B410D"/>
    <w:rsid w:val="001B4853"/>
    <w:rsid w:val="001B4B71"/>
    <w:rsid w:val="001B4D31"/>
    <w:rsid w:val="001B4DBD"/>
    <w:rsid w:val="001B550D"/>
    <w:rsid w:val="001B5549"/>
    <w:rsid w:val="001B56B9"/>
    <w:rsid w:val="001B57B1"/>
    <w:rsid w:val="001B57BB"/>
    <w:rsid w:val="001B5CFC"/>
    <w:rsid w:val="001B5D3C"/>
    <w:rsid w:val="001B61C3"/>
    <w:rsid w:val="001B62E5"/>
    <w:rsid w:val="001B64CF"/>
    <w:rsid w:val="001B6961"/>
    <w:rsid w:val="001B6D4C"/>
    <w:rsid w:val="001B7085"/>
    <w:rsid w:val="001B70B5"/>
    <w:rsid w:val="001B7711"/>
    <w:rsid w:val="001B77EA"/>
    <w:rsid w:val="001B7850"/>
    <w:rsid w:val="001B7863"/>
    <w:rsid w:val="001B7A5E"/>
    <w:rsid w:val="001B7DE1"/>
    <w:rsid w:val="001C0057"/>
    <w:rsid w:val="001C00F6"/>
    <w:rsid w:val="001C01E2"/>
    <w:rsid w:val="001C0354"/>
    <w:rsid w:val="001C039E"/>
    <w:rsid w:val="001C082B"/>
    <w:rsid w:val="001C09F9"/>
    <w:rsid w:val="001C0D2E"/>
    <w:rsid w:val="001C1CA8"/>
    <w:rsid w:val="001C1DD0"/>
    <w:rsid w:val="001C201D"/>
    <w:rsid w:val="001C27BC"/>
    <w:rsid w:val="001C284A"/>
    <w:rsid w:val="001C2C2C"/>
    <w:rsid w:val="001C31CE"/>
    <w:rsid w:val="001C350D"/>
    <w:rsid w:val="001C35C0"/>
    <w:rsid w:val="001C3682"/>
    <w:rsid w:val="001C38C7"/>
    <w:rsid w:val="001C3EAA"/>
    <w:rsid w:val="001C43A3"/>
    <w:rsid w:val="001C461F"/>
    <w:rsid w:val="001C4637"/>
    <w:rsid w:val="001C46DD"/>
    <w:rsid w:val="001C47A3"/>
    <w:rsid w:val="001C4823"/>
    <w:rsid w:val="001C48D0"/>
    <w:rsid w:val="001C4B1E"/>
    <w:rsid w:val="001C500B"/>
    <w:rsid w:val="001C5041"/>
    <w:rsid w:val="001C50BB"/>
    <w:rsid w:val="001C51B6"/>
    <w:rsid w:val="001C529B"/>
    <w:rsid w:val="001C52C1"/>
    <w:rsid w:val="001C540E"/>
    <w:rsid w:val="001C56F7"/>
    <w:rsid w:val="001C5A22"/>
    <w:rsid w:val="001C5CA1"/>
    <w:rsid w:val="001C5E8D"/>
    <w:rsid w:val="001C60A4"/>
    <w:rsid w:val="001C612A"/>
    <w:rsid w:val="001C6EDD"/>
    <w:rsid w:val="001C6F43"/>
    <w:rsid w:val="001C6F44"/>
    <w:rsid w:val="001C6F5C"/>
    <w:rsid w:val="001C7119"/>
    <w:rsid w:val="001C71D4"/>
    <w:rsid w:val="001C7232"/>
    <w:rsid w:val="001C734D"/>
    <w:rsid w:val="001C758A"/>
    <w:rsid w:val="001C7730"/>
    <w:rsid w:val="001C78CC"/>
    <w:rsid w:val="001C7A17"/>
    <w:rsid w:val="001D0392"/>
    <w:rsid w:val="001D0415"/>
    <w:rsid w:val="001D06CA"/>
    <w:rsid w:val="001D09D1"/>
    <w:rsid w:val="001D09EE"/>
    <w:rsid w:val="001D0A3D"/>
    <w:rsid w:val="001D0A8C"/>
    <w:rsid w:val="001D0D84"/>
    <w:rsid w:val="001D150C"/>
    <w:rsid w:val="001D15BF"/>
    <w:rsid w:val="001D208D"/>
    <w:rsid w:val="001D271E"/>
    <w:rsid w:val="001D2B7B"/>
    <w:rsid w:val="001D2BE2"/>
    <w:rsid w:val="001D2F5E"/>
    <w:rsid w:val="001D3267"/>
    <w:rsid w:val="001D32AF"/>
    <w:rsid w:val="001D3B86"/>
    <w:rsid w:val="001D3EB5"/>
    <w:rsid w:val="001D4382"/>
    <w:rsid w:val="001D4686"/>
    <w:rsid w:val="001D4BD9"/>
    <w:rsid w:val="001D4D40"/>
    <w:rsid w:val="001D52ED"/>
    <w:rsid w:val="001D5342"/>
    <w:rsid w:val="001D5A22"/>
    <w:rsid w:val="001D5BA2"/>
    <w:rsid w:val="001D5CF1"/>
    <w:rsid w:val="001D6188"/>
    <w:rsid w:val="001D6444"/>
    <w:rsid w:val="001D655E"/>
    <w:rsid w:val="001D657F"/>
    <w:rsid w:val="001D659C"/>
    <w:rsid w:val="001D6671"/>
    <w:rsid w:val="001D6867"/>
    <w:rsid w:val="001D68A5"/>
    <w:rsid w:val="001D69DA"/>
    <w:rsid w:val="001D6A63"/>
    <w:rsid w:val="001D7399"/>
    <w:rsid w:val="001D758C"/>
    <w:rsid w:val="001D75DB"/>
    <w:rsid w:val="001D7C8A"/>
    <w:rsid w:val="001D7CA2"/>
    <w:rsid w:val="001D7DA0"/>
    <w:rsid w:val="001E04D7"/>
    <w:rsid w:val="001E0530"/>
    <w:rsid w:val="001E05B9"/>
    <w:rsid w:val="001E05D2"/>
    <w:rsid w:val="001E05EB"/>
    <w:rsid w:val="001E0EF1"/>
    <w:rsid w:val="001E0FAB"/>
    <w:rsid w:val="001E1353"/>
    <w:rsid w:val="001E143A"/>
    <w:rsid w:val="001E1800"/>
    <w:rsid w:val="001E1E7D"/>
    <w:rsid w:val="001E219B"/>
    <w:rsid w:val="001E226E"/>
    <w:rsid w:val="001E256C"/>
    <w:rsid w:val="001E25AC"/>
    <w:rsid w:val="001E2855"/>
    <w:rsid w:val="001E28CE"/>
    <w:rsid w:val="001E297A"/>
    <w:rsid w:val="001E313E"/>
    <w:rsid w:val="001E3455"/>
    <w:rsid w:val="001E3550"/>
    <w:rsid w:val="001E3B8E"/>
    <w:rsid w:val="001E3FD6"/>
    <w:rsid w:val="001E43D4"/>
    <w:rsid w:val="001E4763"/>
    <w:rsid w:val="001E47C0"/>
    <w:rsid w:val="001E4856"/>
    <w:rsid w:val="001E49EE"/>
    <w:rsid w:val="001E4F05"/>
    <w:rsid w:val="001E4FD3"/>
    <w:rsid w:val="001E543C"/>
    <w:rsid w:val="001E5B78"/>
    <w:rsid w:val="001E5D13"/>
    <w:rsid w:val="001E5D90"/>
    <w:rsid w:val="001E61E8"/>
    <w:rsid w:val="001E629D"/>
    <w:rsid w:val="001E6D2E"/>
    <w:rsid w:val="001E6D3A"/>
    <w:rsid w:val="001E6E01"/>
    <w:rsid w:val="001E70C4"/>
    <w:rsid w:val="001E712A"/>
    <w:rsid w:val="001E7200"/>
    <w:rsid w:val="001E7476"/>
    <w:rsid w:val="001E7AC6"/>
    <w:rsid w:val="001E7D8F"/>
    <w:rsid w:val="001E7E6B"/>
    <w:rsid w:val="001E7EC6"/>
    <w:rsid w:val="001F0722"/>
    <w:rsid w:val="001F091D"/>
    <w:rsid w:val="001F0E5B"/>
    <w:rsid w:val="001F0EFC"/>
    <w:rsid w:val="001F107B"/>
    <w:rsid w:val="001F141C"/>
    <w:rsid w:val="001F1A40"/>
    <w:rsid w:val="001F2027"/>
    <w:rsid w:val="001F2115"/>
    <w:rsid w:val="001F222D"/>
    <w:rsid w:val="001F2449"/>
    <w:rsid w:val="001F28E2"/>
    <w:rsid w:val="001F2A28"/>
    <w:rsid w:val="001F321B"/>
    <w:rsid w:val="001F33E8"/>
    <w:rsid w:val="001F3691"/>
    <w:rsid w:val="001F3A09"/>
    <w:rsid w:val="001F41FD"/>
    <w:rsid w:val="001F4C1B"/>
    <w:rsid w:val="001F4C8D"/>
    <w:rsid w:val="001F51CD"/>
    <w:rsid w:val="001F5231"/>
    <w:rsid w:val="001F547D"/>
    <w:rsid w:val="001F5976"/>
    <w:rsid w:val="001F5AF0"/>
    <w:rsid w:val="001F5CA2"/>
    <w:rsid w:val="001F5EE6"/>
    <w:rsid w:val="001F6414"/>
    <w:rsid w:val="001F6BF7"/>
    <w:rsid w:val="001F6DC7"/>
    <w:rsid w:val="001F6FBD"/>
    <w:rsid w:val="001F7415"/>
    <w:rsid w:val="001F750A"/>
    <w:rsid w:val="001F761C"/>
    <w:rsid w:val="001F7762"/>
    <w:rsid w:val="001F7C81"/>
    <w:rsid w:val="001F7D3C"/>
    <w:rsid w:val="002000D9"/>
    <w:rsid w:val="00200233"/>
    <w:rsid w:val="002003B8"/>
    <w:rsid w:val="002005D6"/>
    <w:rsid w:val="002009C9"/>
    <w:rsid w:val="00200F4B"/>
    <w:rsid w:val="0020110D"/>
    <w:rsid w:val="00201131"/>
    <w:rsid w:val="002012A7"/>
    <w:rsid w:val="00201723"/>
    <w:rsid w:val="00201C53"/>
    <w:rsid w:val="00201ECA"/>
    <w:rsid w:val="0020209D"/>
    <w:rsid w:val="002022C1"/>
    <w:rsid w:val="00202788"/>
    <w:rsid w:val="00202974"/>
    <w:rsid w:val="00202B29"/>
    <w:rsid w:val="00202CD1"/>
    <w:rsid w:val="00202D98"/>
    <w:rsid w:val="00203093"/>
    <w:rsid w:val="00203541"/>
    <w:rsid w:val="00203971"/>
    <w:rsid w:val="00203AA6"/>
    <w:rsid w:val="00203B34"/>
    <w:rsid w:val="00203B44"/>
    <w:rsid w:val="00204DEF"/>
    <w:rsid w:val="002052D7"/>
    <w:rsid w:val="00205364"/>
    <w:rsid w:val="00205B1C"/>
    <w:rsid w:val="00205B77"/>
    <w:rsid w:val="00205BE0"/>
    <w:rsid w:val="00205C55"/>
    <w:rsid w:val="0020628F"/>
    <w:rsid w:val="00206435"/>
    <w:rsid w:val="002068E9"/>
    <w:rsid w:val="002069B6"/>
    <w:rsid w:val="00206FB5"/>
    <w:rsid w:val="00207071"/>
    <w:rsid w:val="00207161"/>
    <w:rsid w:val="002073DC"/>
    <w:rsid w:val="0020745B"/>
    <w:rsid w:val="0020775A"/>
    <w:rsid w:val="00207AD9"/>
    <w:rsid w:val="00207B3D"/>
    <w:rsid w:val="00207B67"/>
    <w:rsid w:val="00207D8E"/>
    <w:rsid w:val="00207F60"/>
    <w:rsid w:val="00210088"/>
    <w:rsid w:val="00211814"/>
    <w:rsid w:val="0021193A"/>
    <w:rsid w:val="002126B8"/>
    <w:rsid w:val="00212922"/>
    <w:rsid w:val="00213C11"/>
    <w:rsid w:val="00214230"/>
    <w:rsid w:val="002145A1"/>
    <w:rsid w:val="002146E4"/>
    <w:rsid w:val="00214A03"/>
    <w:rsid w:val="00214EAA"/>
    <w:rsid w:val="002150CA"/>
    <w:rsid w:val="0021546A"/>
    <w:rsid w:val="0021549A"/>
    <w:rsid w:val="00215595"/>
    <w:rsid w:val="002155D1"/>
    <w:rsid w:val="00215A4B"/>
    <w:rsid w:val="00216371"/>
    <w:rsid w:val="002165AE"/>
    <w:rsid w:val="00216F89"/>
    <w:rsid w:val="00217367"/>
    <w:rsid w:val="002173C1"/>
    <w:rsid w:val="002174D6"/>
    <w:rsid w:val="00217838"/>
    <w:rsid w:val="00220736"/>
    <w:rsid w:val="00220CCF"/>
    <w:rsid w:val="002210B3"/>
    <w:rsid w:val="0022190F"/>
    <w:rsid w:val="002219D4"/>
    <w:rsid w:val="00221D42"/>
    <w:rsid w:val="00222370"/>
    <w:rsid w:val="00222574"/>
    <w:rsid w:val="002225CB"/>
    <w:rsid w:val="002225D7"/>
    <w:rsid w:val="00222ACA"/>
    <w:rsid w:val="002231D1"/>
    <w:rsid w:val="00223518"/>
    <w:rsid w:val="0022384A"/>
    <w:rsid w:val="00223AAE"/>
    <w:rsid w:val="00224822"/>
    <w:rsid w:val="00224A30"/>
    <w:rsid w:val="00224EC6"/>
    <w:rsid w:val="002251F4"/>
    <w:rsid w:val="0022528D"/>
    <w:rsid w:val="002253B7"/>
    <w:rsid w:val="00225E9C"/>
    <w:rsid w:val="002260A7"/>
    <w:rsid w:val="00226642"/>
    <w:rsid w:val="00226664"/>
    <w:rsid w:val="0022668C"/>
    <w:rsid w:val="00226727"/>
    <w:rsid w:val="00226826"/>
    <w:rsid w:val="00226B31"/>
    <w:rsid w:val="00226CF9"/>
    <w:rsid w:val="00226E79"/>
    <w:rsid w:val="00226FEC"/>
    <w:rsid w:val="002272CF"/>
    <w:rsid w:val="0022786C"/>
    <w:rsid w:val="002279FE"/>
    <w:rsid w:val="00227C1C"/>
    <w:rsid w:val="00227CE9"/>
    <w:rsid w:val="00227F84"/>
    <w:rsid w:val="0023023C"/>
    <w:rsid w:val="0023034D"/>
    <w:rsid w:val="002303B8"/>
    <w:rsid w:val="00230474"/>
    <w:rsid w:val="00230685"/>
    <w:rsid w:val="002306A3"/>
    <w:rsid w:val="00230F28"/>
    <w:rsid w:val="00231114"/>
    <w:rsid w:val="002314F4"/>
    <w:rsid w:val="0023153F"/>
    <w:rsid w:val="002315AC"/>
    <w:rsid w:val="0023183C"/>
    <w:rsid w:val="00231A9D"/>
    <w:rsid w:val="00231B1C"/>
    <w:rsid w:val="00231E7B"/>
    <w:rsid w:val="002325DB"/>
    <w:rsid w:val="002328B3"/>
    <w:rsid w:val="002330FB"/>
    <w:rsid w:val="002331E8"/>
    <w:rsid w:val="0023378C"/>
    <w:rsid w:val="0023379A"/>
    <w:rsid w:val="002338EF"/>
    <w:rsid w:val="0023391A"/>
    <w:rsid w:val="00233E4C"/>
    <w:rsid w:val="00233E63"/>
    <w:rsid w:val="00233FA7"/>
    <w:rsid w:val="002343B1"/>
    <w:rsid w:val="00234ABC"/>
    <w:rsid w:val="00234D54"/>
    <w:rsid w:val="00234E28"/>
    <w:rsid w:val="0023525F"/>
    <w:rsid w:val="0023545D"/>
    <w:rsid w:val="002355CC"/>
    <w:rsid w:val="00235943"/>
    <w:rsid w:val="002365ED"/>
    <w:rsid w:val="00236779"/>
    <w:rsid w:val="002368A8"/>
    <w:rsid w:val="002369AF"/>
    <w:rsid w:val="00236DC8"/>
    <w:rsid w:val="00237024"/>
    <w:rsid w:val="0023786F"/>
    <w:rsid w:val="0023796D"/>
    <w:rsid w:val="00237D42"/>
    <w:rsid w:val="00240406"/>
    <w:rsid w:val="002404CF"/>
    <w:rsid w:val="002405A5"/>
    <w:rsid w:val="002406DE"/>
    <w:rsid w:val="00240D10"/>
    <w:rsid w:val="0024142A"/>
    <w:rsid w:val="002417D6"/>
    <w:rsid w:val="00241982"/>
    <w:rsid w:val="00241CFC"/>
    <w:rsid w:val="002423A6"/>
    <w:rsid w:val="0024256E"/>
    <w:rsid w:val="002426BE"/>
    <w:rsid w:val="002426F4"/>
    <w:rsid w:val="00242715"/>
    <w:rsid w:val="0024279C"/>
    <w:rsid w:val="00242A8C"/>
    <w:rsid w:val="00242B3C"/>
    <w:rsid w:val="00242C6B"/>
    <w:rsid w:val="00242DB4"/>
    <w:rsid w:val="00242E0D"/>
    <w:rsid w:val="002431DB"/>
    <w:rsid w:val="002436C9"/>
    <w:rsid w:val="00243787"/>
    <w:rsid w:val="0024379B"/>
    <w:rsid w:val="00243CBF"/>
    <w:rsid w:val="00243EAF"/>
    <w:rsid w:val="00243F42"/>
    <w:rsid w:val="0024421A"/>
    <w:rsid w:val="002444B5"/>
    <w:rsid w:val="00244513"/>
    <w:rsid w:val="00244582"/>
    <w:rsid w:val="002446C9"/>
    <w:rsid w:val="002448B7"/>
    <w:rsid w:val="00244991"/>
    <w:rsid w:val="002449C3"/>
    <w:rsid w:val="00244B95"/>
    <w:rsid w:val="00244C8D"/>
    <w:rsid w:val="002452EB"/>
    <w:rsid w:val="00245674"/>
    <w:rsid w:val="002459E7"/>
    <w:rsid w:val="00245CA1"/>
    <w:rsid w:val="00245E00"/>
    <w:rsid w:val="00245FBE"/>
    <w:rsid w:val="00246153"/>
    <w:rsid w:val="002461B4"/>
    <w:rsid w:val="002465E3"/>
    <w:rsid w:val="00246834"/>
    <w:rsid w:val="00246D4B"/>
    <w:rsid w:val="00246EF1"/>
    <w:rsid w:val="00246F19"/>
    <w:rsid w:val="00246FBD"/>
    <w:rsid w:val="002471A3"/>
    <w:rsid w:val="002471D9"/>
    <w:rsid w:val="00247210"/>
    <w:rsid w:val="00247303"/>
    <w:rsid w:val="00247419"/>
    <w:rsid w:val="00247912"/>
    <w:rsid w:val="00247A79"/>
    <w:rsid w:val="00247BBB"/>
    <w:rsid w:val="00247D6C"/>
    <w:rsid w:val="00250034"/>
    <w:rsid w:val="002500C3"/>
    <w:rsid w:val="00250517"/>
    <w:rsid w:val="00250677"/>
    <w:rsid w:val="002507B2"/>
    <w:rsid w:val="00250F76"/>
    <w:rsid w:val="002511C5"/>
    <w:rsid w:val="00251299"/>
    <w:rsid w:val="00251444"/>
    <w:rsid w:val="0025159C"/>
    <w:rsid w:val="00251817"/>
    <w:rsid w:val="00251A0D"/>
    <w:rsid w:val="00251B83"/>
    <w:rsid w:val="00251CDE"/>
    <w:rsid w:val="00251D99"/>
    <w:rsid w:val="00251DF6"/>
    <w:rsid w:val="00251E62"/>
    <w:rsid w:val="00251EEA"/>
    <w:rsid w:val="00251F32"/>
    <w:rsid w:val="00251F43"/>
    <w:rsid w:val="002522FC"/>
    <w:rsid w:val="00252DAA"/>
    <w:rsid w:val="00253006"/>
    <w:rsid w:val="002530FF"/>
    <w:rsid w:val="0025321D"/>
    <w:rsid w:val="0025322E"/>
    <w:rsid w:val="00253BB6"/>
    <w:rsid w:val="0025447B"/>
    <w:rsid w:val="00254578"/>
    <w:rsid w:val="00254586"/>
    <w:rsid w:val="0025490D"/>
    <w:rsid w:val="0025499B"/>
    <w:rsid w:val="00254ADF"/>
    <w:rsid w:val="00254D47"/>
    <w:rsid w:val="0025525E"/>
    <w:rsid w:val="002554F0"/>
    <w:rsid w:val="002558F1"/>
    <w:rsid w:val="00255BA0"/>
    <w:rsid w:val="00255C47"/>
    <w:rsid w:val="00255EFB"/>
    <w:rsid w:val="00255FA5"/>
    <w:rsid w:val="00256255"/>
    <w:rsid w:val="00256296"/>
    <w:rsid w:val="00256782"/>
    <w:rsid w:val="002568FA"/>
    <w:rsid w:val="00256BC4"/>
    <w:rsid w:val="0025780A"/>
    <w:rsid w:val="002578FF"/>
    <w:rsid w:val="0025793D"/>
    <w:rsid w:val="0026041F"/>
    <w:rsid w:val="002608E7"/>
    <w:rsid w:val="00260F0E"/>
    <w:rsid w:val="002612A5"/>
    <w:rsid w:val="002615B3"/>
    <w:rsid w:val="00261643"/>
    <w:rsid w:val="00261E08"/>
    <w:rsid w:val="00261FF1"/>
    <w:rsid w:val="002623E0"/>
    <w:rsid w:val="002629F1"/>
    <w:rsid w:val="002629F9"/>
    <w:rsid w:val="00262A3B"/>
    <w:rsid w:val="002630EA"/>
    <w:rsid w:val="002631B8"/>
    <w:rsid w:val="002637AD"/>
    <w:rsid w:val="00263891"/>
    <w:rsid w:val="00263CA5"/>
    <w:rsid w:val="00263EAC"/>
    <w:rsid w:val="00264012"/>
    <w:rsid w:val="0026437C"/>
    <w:rsid w:val="00264DF9"/>
    <w:rsid w:val="002657A2"/>
    <w:rsid w:val="0026589E"/>
    <w:rsid w:val="00265AC7"/>
    <w:rsid w:val="00265F2E"/>
    <w:rsid w:val="00266470"/>
    <w:rsid w:val="002668CC"/>
    <w:rsid w:val="002668DB"/>
    <w:rsid w:val="00266C43"/>
    <w:rsid w:val="00267001"/>
    <w:rsid w:val="002672D4"/>
    <w:rsid w:val="0026772D"/>
    <w:rsid w:val="0026787B"/>
    <w:rsid w:val="00267AC5"/>
    <w:rsid w:val="00267BB5"/>
    <w:rsid w:val="00267BD6"/>
    <w:rsid w:val="00267F2F"/>
    <w:rsid w:val="00270326"/>
    <w:rsid w:val="00270DD3"/>
    <w:rsid w:val="00270E35"/>
    <w:rsid w:val="00270E93"/>
    <w:rsid w:val="002711B6"/>
    <w:rsid w:val="002718F9"/>
    <w:rsid w:val="0027191C"/>
    <w:rsid w:val="00271AC5"/>
    <w:rsid w:val="002722BF"/>
    <w:rsid w:val="0027251E"/>
    <w:rsid w:val="00272D1F"/>
    <w:rsid w:val="00272E0D"/>
    <w:rsid w:val="002730B1"/>
    <w:rsid w:val="0027337E"/>
    <w:rsid w:val="0027354B"/>
    <w:rsid w:val="0027356F"/>
    <w:rsid w:val="00273644"/>
    <w:rsid w:val="002736CA"/>
    <w:rsid w:val="00273FB4"/>
    <w:rsid w:val="0027447D"/>
    <w:rsid w:val="002746BE"/>
    <w:rsid w:val="00274C95"/>
    <w:rsid w:val="00274F13"/>
    <w:rsid w:val="00274FCE"/>
    <w:rsid w:val="0027500D"/>
    <w:rsid w:val="00275413"/>
    <w:rsid w:val="00275735"/>
    <w:rsid w:val="002757A2"/>
    <w:rsid w:val="002757F2"/>
    <w:rsid w:val="00275C80"/>
    <w:rsid w:val="00275EC0"/>
    <w:rsid w:val="00275F61"/>
    <w:rsid w:val="00276435"/>
    <w:rsid w:val="00276B0B"/>
    <w:rsid w:val="00276CB8"/>
    <w:rsid w:val="0027726E"/>
    <w:rsid w:val="002778FA"/>
    <w:rsid w:val="0027792A"/>
    <w:rsid w:val="00277D63"/>
    <w:rsid w:val="00277DC3"/>
    <w:rsid w:val="0028008E"/>
    <w:rsid w:val="002802D0"/>
    <w:rsid w:val="002808F3"/>
    <w:rsid w:val="00280C41"/>
    <w:rsid w:val="00280CE5"/>
    <w:rsid w:val="00280DE4"/>
    <w:rsid w:val="00280E8B"/>
    <w:rsid w:val="00280F47"/>
    <w:rsid w:val="00280FE8"/>
    <w:rsid w:val="002810C3"/>
    <w:rsid w:val="002812AE"/>
    <w:rsid w:val="002817BD"/>
    <w:rsid w:val="0028193F"/>
    <w:rsid w:val="00281A28"/>
    <w:rsid w:val="00281A95"/>
    <w:rsid w:val="00281BA6"/>
    <w:rsid w:val="00281CDE"/>
    <w:rsid w:val="00281D5C"/>
    <w:rsid w:val="00281FE5"/>
    <w:rsid w:val="00282031"/>
    <w:rsid w:val="0028220E"/>
    <w:rsid w:val="002825B6"/>
    <w:rsid w:val="00282645"/>
    <w:rsid w:val="002828A1"/>
    <w:rsid w:val="00282A42"/>
    <w:rsid w:val="00282EEA"/>
    <w:rsid w:val="00282F5D"/>
    <w:rsid w:val="0028312B"/>
    <w:rsid w:val="00283330"/>
    <w:rsid w:val="0028350D"/>
    <w:rsid w:val="0028385A"/>
    <w:rsid w:val="00283927"/>
    <w:rsid w:val="002839F2"/>
    <w:rsid w:val="00283DAC"/>
    <w:rsid w:val="002840F3"/>
    <w:rsid w:val="0028419B"/>
    <w:rsid w:val="0028453C"/>
    <w:rsid w:val="00284ACF"/>
    <w:rsid w:val="00284BD9"/>
    <w:rsid w:val="0028501E"/>
    <w:rsid w:val="002861FF"/>
    <w:rsid w:val="0028669C"/>
    <w:rsid w:val="002866D9"/>
    <w:rsid w:val="002868ED"/>
    <w:rsid w:val="00286EB1"/>
    <w:rsid w:val="0028711A"/>
    <w:rsid w:val="002872A4"/>
    <w:rsid w:val="002874B6"/>
    <w:rsid w:val="00290433"/>
    <w:rsid w:val="0029053C"/>
    <w:rsid w:val="002909CF"/>
    <w:rsid w:val="00290A39"/>
    <w:rsid w:val="00290DC8"/>
    <w:rsid w:val="00290DE2"/>
    <w:rsid w:val="002911F8"/>
    <w:rsid w:val="0029124C"/>
    <w:rsid w:val="00291570"/>
    <w:rsid w:val="0029161A"/>
    <w:rsid w:val="002916A1"/>
    <w:rsid w:val="002916B2"/>
    <w:rsid w:val="00291860"/>
    <w:rsid w:val="00292604"/>
    <w:rsid w:val="00292A21"/>
    <w:rsid w:val="002935A8"/>
    <w:rsid w:val="00293612"/>
    <w:rsid w:val="00293A0F"/>
    <w:rsid w:val="00293C80"/>
    <w:rsid w:val="00293DD0"/>
    <w:rsid w:val="002940A9"/>
    <w:rsid w:val="0029450A"/>
    <w:rsid w:val="00294723"/>
    <w:rsid w:val="002948AE"/>
    <w:rsid w:val="0029493F"/>
    <w:rsid w:val="0029494F"/>
    <w:rsid w:val="00295065"/>
    <w:rsid w:val="00295086"/>
    <w:rsid w:val="002950AA"/>
    <w:rsid w:val="002953EE"/>
    <w:rsid w:val="002954E6"/>
    <w:rsid w:val="0029579F"/>
    <w:rsid w:val="00295982"/>
    <w:rsid w:val="00295AB2"/>
    <w:rsid w:val="00295BBE"/>
    <w:rsid w:val="00295F00"/>
    <w:rsid w:val="002961FE"/>
    <w:rsid w:val="0029637C"/>
    <w:rsid w:val="00296592"/>
    <w:rsid w:val="00296D79"/>
    <w:rsid w:val="00296F97"/>
    <w:rsid w:val="00296FC4"/>
    <w:rsid w:val="00297347"/>
    <w:rsid w:val="002973BB"/>
    <w:rsid w:val="00297531"/>
    <w:rsid w:val="002976D1"/>
    <w:rsid w:val="0029770E"/>
    <w:rsid w:val="00297815"/>
    <w:rsid w:val="002A068C"/>
    <w:rsid w:val="002A07C1"/>
    <w:rsid w:val="002A0834"/>
    <w:rsid w:val="002A085E"/>
    <w:rsid w:val="002A0A25"/>
    <w:rsid w:val="002A0DAE"/>
    <w:rsid w:val="002A0DF9"/>
    <w:rsid w:val="002A0F61"/>
    <w:rsid w:val="002A13A4"/>
    <w:rsid w:val="002A176A"/>
    <w:rsid w:val="002A193E"/>
    <w:rsid w:val="002A1BD9"/>
    <w:rsid w:val="002A1C0B"/>
    <w:rsid w:val="002A2744"/>
    <w:rsid w:val="002A288D"/>
    <w:rsid w:val="002A3908"/>
    <w:rsid w:val="002A3D82"/>
    <w:rsid w:val="002A42A9"/>
    <w:rsid w:val="002A456A"/>
    <w:rsid w:val="002A4A93"/>
    <w:rsid w:val="002A4ACB"/>
    <w:rsid w:val="002A4AF0"/>
    <w:rsid w:val="002A5142"/>
    <w:rsid w:val="002A52D3"/>
    <w:rsid w:val="002A54C1"/>
    <w:rsid w:val="002A54FF"/>
    <w:rsid w:val="002A55E4"/>
    <w:rsid w:val="002A56B6"/>
    <w:rsid w:val="002A5B75"/>
    <w:rsid w:val="002A5DA7"/>
    <w:rsid w:val="002A5DB2"/>
    <w:rsid w:val="002A64DD"/>
    <w:rsid w:val="002A6966"/>
    <w:rsid w:val="002A72C0"/>
    <w:rsid w:val="002A77D4"/>
    <w:rsid w:val="002A79E8"/>
    <w:rsid w:val="002A7AAE"/>
    <w:rsid w:val="002A7D24"/>
    <w:rsid w:val="002B01E1"/>
    <w:rsid w:val="002B05DE"/>
    <w:rsid w:val="002B2606"/>
    <w:rsid w:val="002B2A14"/>
    <w:rsid w:val="002B2ED9"/>
    <w:rsid w:val="002B2F73"/>
    <w:rsid w:val="002B31EB"/>
    <w:rsid w:val="002B329B"/>
    <w:rsid w:val="002B3343"/>
    <w:rsid w:val="002B3408"/>
    <w:rsid w:val="002B34D9"/>
    <w:rsid w:val="002B39BC"/>
    <w:rsid w:val="002B39EB"/>
    <w:rsid w:val="002B3EC1"/>
    <w:rsid w:val="002B4047"/>
    <w:rsid w:val="002B45D0"/>
    <w:rsid w:val="002B4A5A"/>
    <w:rsid w:val="002B5063"/>
    <w:rsid w:val="002B541E"/>
    <w:rsid w:val="002B5897"/>
    <w:rsid w:val="002B5BF1"/>
    <w:rsid w:val="002B61AD"/>
    <w:rsid w:val="002B64CF"/>
    <w:rsid w:val="002B64F9"/>
    <w:rsid w:val="002B6724"/>
    <w:rsid w:val="002B6FE9"/>
    <w:rsid w:val="002B6FFC"/>
    <w:rsid w:val="002B7044"/>
    <w:rsid w:val="002B7697"/>
    <w:rsid w:val="002B7A9B"/>
    <w:rsid w:val="002B7B9D"/>
    <w:rsid w:val="002B7D6F"/>
    <w:rsid w:val="002C06DD"/>
    <w:rsid w:val="002C0A6E"/>
    <w:rsid w:val="002C0E28"/>
    <w:rsid w:val="002C0EE1"/>
    <w:rsid w:val="002C1132"/>
    <w:rsid w:val="002C1255"/>
    <w:rsid w:val="002C1B21"/>
    <w:rsid w:val="002C1D15"/>
    <w:rsid w:val="002C1EAE"/>
    <w:rsid w:val="002C1F29"/>
    <w:rsid w:val="002C255F"/>
    <w:rsid w:val="002C25A3"/>
    <w:rsid w:val="002C2F8C"/>
    <w:rsid w:val="002C33CC"/>
    <w:rsid w:val="002C3568"/>
    <w:rsid w:val="002C35A6"/>
    <w:rsid w:val="002C37FD"/>
    <w:rsid w:val="002C3DD6"/>
    <w:rsid w:val="002C454E"/>
    <w:rsid w:val="002C4854"/>
    <w:rsid w:val="002C49DB"/>
    <w:rsid w:val="002C4B2E"/>
    <w:rsid w:val="002C4B40"/>
    <w:rsid w:val="002C5211"/>
    <w:rsid w:val="002C5D55"/>
    <w:rsid w:val="002C5FF3"/>
    <w:rsid w:val="002C600B"/>
    <w:rsid w:val="002C626A"/>
    <w:rsid w:val="002C6750"/>
    <w:rsid w:val="002C7285"/>
    <w:rsid w:val="002C76AD"/>
    <w:rsid w:val="002C7A1E"/>
    <w:rsid w:val="002C7A7E"/>
    <w:rsid w:val="002C7A98"/>
    <w:rsid w:val="002C7DF2"/>
    <w:rsid w:val="002D001E"/>
    <w:rsid w:val="002D02B5"/>
    <w:rsid w:val="002D0630"/>
    <w:rsid w:val="002D0937"/>
    <w:rsid w:val="002D13FD"/>
    <w:rsid w:val="002D17A0"/>
    <w:rsid w:val="002D18CF"/>
    <w:rsid w:val="002D1BEB"/>
    <w:rsid w:val="002D1D62"/>
    <w:rsid w:val="002D1DCF"/>
    <w:rsid w:val="002D1ED2"/>
    <w:rsid w:val="002D299D"/>
    <w:rsid w:val="002D2E4F"/>
    <w:rsid w:val="002D2EA1"/>
    <w:rsid w:val="002D3140"/>
    <w:rsid w:val="002D3600"/>
    <w:rsid w:val="002D361E"/>
    <w:rsid w:val="002D4365"/>
    <w:rsid w:val="002D4B02"/>
    <w:rsid w:val="002D4FD6"/>
    <w:rsid w:val="002D4FFB"/>
    <w:rsid w:val="002D50D8"/>
    <w:rsid w:val="002D5591"/>
    <w:rsid w:val="002D580B"/>
    <w:rsid w:val="002D5878"/>
    <w:rsid w:val="002D587C"/>
    <w:rsid w:val="002D5AC1"/>
    <w:rsid w:val="002D6008"/>
    <w:rsid w:val="002D69AB"/>
    <w:rsid w:val="002D6B91"/>
    <w:rsid w:val="002D6FF7"/>
    <w:rsid w:val="002D7164"/>
    <w:rsid w:val="002D78B7"/>
    <w:rsid w:val="002D7945"/>
    <w:rsid w:val="002D7AFF"/>
    <w:rsid w:val="002D7BB4"/>
    <w:rsid w:val="002D7E6B"/>
    <w:rsid w:val="002E007D"/>
    <w:rsid w:val="002E0AD8"/>
    <w:rsid w:val="002E0D54"/>
    <w:rsid w:val="002E11D5"/>
    <w:rsid w:val="002E131E"/>
    <w:rsid w:val="002E15F3"/>
    <w:rsid w:val="002E183E"/>
    <w:rsid w:val="002E1A70"/>
    <w:rsid w:val="002E1A86"/>
    <w:rsid w:val="002E1D88"/>
    <w:rsid w:val="002E1FFB"/>
    <w:rsid w:val="002E204A"/>
    <w:rsid w:val="002E2107"/>
    <w:rsid w:val="002E3036"/>
    <w:rsid w:val="002E3241"/>
    <w:rsid w:val="002E344F"/>
    <w:rsid w:val="002E349F"/>
    <w:rsid w:val="002E3F17"/>
    <w:rsid w:val="002E4230"/>
    <w:rsid w:val="002E4427"/>
    <w:rsid w:val="002E4586"/>
    <w:rsid w:val="002E48EB"/>
    <w:rsid w:val="002E4A39"/>
    <w:rsid w:val="002E4B0B"/>
    <w:rsid w:val="002E4D08"/>
    <w:rsid w:val="002E4D0F"/>
    <w:rsid w:val="002E4D71"/>
    <w:rsid w:val="002E4F2D"/>
    <w:rsid w:val="002E53AC"/>
    <w:rsid w:val="002E5B4B"/>
    <w:rsid w:val="002E5BF9"/>
    <w:rsid w:val="002E5F31"/>
    <w:rsid w:val="002E613F"/>
    <w:rsid w:val="002E61B2"/>
    <w:rsid w:val="002E64F2"/>
    <w:rsid w:val="002E658F"/>
    <w:rsid w:val="002E6611"/>
    <w:rsid w:val="002E6830"/>
    <w:rsid w:val="002E6A8C"/>
    <w:rsid w:val="002E6ED2"/>
    <w:rsid w:val="002E6F76"/>
    <w:rsid w:val="002E717B"/>
    <w:rsid w:val="002E74C3"/>
    <w:rsid w:val="002E7781"/>
    <w:rsid w:val="002E78A4"/>
    <w:rsid w:val="002E7A70"/>
    <w:rsid w:val="002E7AEB"/>
    <w:rsid w:val="002E7BD4"/>
    <w:rsid w:val="002E7C38"/>
    <w:rsid w:val="002E7D1F"/>
    <w:rsid w:val="002E7F81"/>
    <w:rsid w:val="002F0436"/>
    <w:rsid w:val="002F0F88"/>
    <w:rsid w:val="002F144A"/>
    <w:rsid w:val="002F14E1"/>
    <w:rsid w:val="002F1752"/>
    <w:rsid w:val="002F1FF4"/>
    <w:rsid w:val="002F239E"/>
    <w:rsid w:val="002F29D3"/>
    <w:rsid w:val="002F2AF5"/>
    <w:rsid w:val="002F2FB1"/>
    <w:rsid w:val="002F3000"/>
    <w:rsid w:val="002F32E6"/>
    <w:rsid w:val="002F3D27"/>
    <w:rsid w:val="002F41CC"/>
    <w:rsid w:val="002F4387"/>
    <w:rsid w:val="002F45A8"/>
    <w:rsid w:val="002F50A6"/>
    <w:rsid w:val="002F53AD"/>
    <w:rsid w:val="002F5578"/>
    <w:rsid w:val="002F559A"/>
    <w:rsid w:val="002F5814"/>
    <w:rsid w:val="002F583B"/>
    <w:rsid w:val="002F5F3A"/>
    <w:rsid w:val="002F64E9"/>
    <w:rsid w:val="002F65F3"/>
    <w:rsid w:val="002F6792"/>
    <w:rsid w:val="002F7118"/>
    <w:rsid w:val="002F7352"/>
    <w:rsid w:val="002F7711"/>
    <w:rsid w:val="002F7790"/>
    <w:rsid w:val="002F7A48"/>
    <w:rsid w:val="002F7CCF"/>
    <w:rsid w:val="003006F2"/>
    <w:rsid w:val="00300827"/>
    <w:rsid w:val="0030091B"/>
    <w:rsid w:val="00300A70"/>
    <w:rsid w:val="00300B40"/>
    <w:rsid w:val="003016B7"/>
    <w:rsid w:val="00301A56"/>
    <w:rsid w:val="00301D07"/>
    <w:rsid w:val="00302061"/>
    <w:rsid w:val="00302127"/>
    <w:rsid w:val="003021CC"/>
    <w:rsid w:val="0030224C"/>
    <w:rsid w:val="00302287"/>
    <w:rsid w:val="003024AA"/>
    <w:rsid w:val="003024D3"/>
    <w:rsid w:val="00302741"/>
    <w:rsid w:val="00303293"/>
    <w:rsid w:val="00303337"/>
    <w:rsid w:val="003039F4"/>
    <w:rsid w:val="00303DAA"/>
    <w:rsid w:val="00303DD5"/>
    <w:rsid w:val="00303F1A"/>
    <w:rsid w:val="00304248"/>
    <w:rsid w:val="003044F4"/>
    <w:rsid w:val="0030495B"/>
    <w:rsid w:val="00304D13"/>
    <w:rsid w:val="00304F45"/>
    <w:rsid w:val="0030510E"/>
    <w:rsid w:val="003052B0"/>
    <w:rsid w:val="003054FD"/>
    <w:rsid w:val="0030563D"/>
    <w:rsid w:val="0030585A"/>
    <w:rsid w:val="00306A05"/>
    <w:rsid w:val="00306B86"/>
    <w:rsid w:val="00307012"/>
    <w:rsid w:val="0030714F"/>
    <w:rsid w:val="00307231"/>
    <w:rsid w:val="003073D2"/>
    <w:rsid w:val="00307481"/>
    <w:rsid w:val="003100C6"/>
    <w:rsid w:val="003100EF"/>
    <w:rsid w:val="00310534"/>
    <w:rsid w:val="00310709"/>
    <w:rsid w:val="003110F0"/>
    <w:rsid w:val="003112A1"/>
    <w:rsid w:val="003112A4"/>
    <w:rsid w:val="00311326"/>
    <w:rsid w:val="0031184B"/>
    <w:rsid w:val="00311A23"/>
    <w:rsid w:val="00311B75"/>
    <w:rsid w:val="00311C4D"/>
    <w:rsid w:val="00311DC9"/>
    <w:rsid w:val="0031247E"/>
    <w:rsid w:val="00312DFF"/>
    <w:rsid w:val="003135AD"/>
    <w:rsid w:val="003137A6"/>
    <w:rsid w:val="00313934"/>
    <w:rsid w:val="00313B6F"/>
    <w:rsid w:val="00313F4A"/>
    <w:rsid w:val="003140F8"/>
    <w:rsid w:val="00314250"/>
    <w:rsid w:val="0031428A"/>
    <w:rsid w:val="00314BAC"/>
    <w:rsid w:val="00315053"/>
    <w:rsid w:val="0031513D"/>
    <w:rsid w:val="003154B6"/>
    <w:rsid w:val="003156C7"/>
    <w:rsid w:val="003157D5"/>
    <w:rsid w:val="0031629F"/>
    <w:rsid w:val="0031640B"/>
    <w:rsid w:val="0031660E"/>
    <w:rsid w:val="00317452"/>
    <w:rsid w:val="00317AB4"/>
    <w:rsid w:val="00317FAB"/>
    <w:rsid w:val="00320124"/>
    <w:rsid w:val="00320304"/>
    <w:rsid w:val="0032050E"/>
    <w:rsid w:val="00320796"/>
    <w:rsid w:val="003209D1"/>
    <w:rsid w:val="00320B8E"/>
    <w:rsid w:val="00320EC5"/>
    <w:rsid w:val="0032111F"/>
    <w:rsid w:val="003213EA"/>
    <w:rsid w:val="00321957"/>
    <w:rsid w:val="00321B1A"/>
    <w:rsid w:val="00321D2C"/>
    <w:rsid w:val="00321F9A"/>
    <w:rsid w:val="00321F9E"/>
    <w:rsid w:val="00322009"/>
    <w:rsid w:val="003220EB"/>
    <w:rsid w:val="00322385"/>
    <w:rsid w:val="00322CF0"/>
    <w:rsid w:val="003230FC"/>
    <w:rsid w:val="003237BB"/>
    <w:rsid w:val="00323BAD"/>
    <w:rsid w:val="00323D01"/>
    <w:rsid w:val="00323F79"/>
    <w:rsid w:val="003241C5"/>
    <w:rsid w:val="003241EB"/>
    <w:rsid w:val="003244D3"/>
    <w:rsid w:val="003245FE"/>
    <w:rsid w:val="00324690"/>
    <w:rsid w:val="003248BB"/>
    <w:rsid w:val="0032527F"/>
    <w:rsid w:val="003255BF"/>
    <w:rsid w:val="00325D6A"/>
    <w:rsid w:val="00326176"/>
    <w:rsid w:val="003261D7"/>
    <w:rsid w:val="0032637F"/>
    <w:rsid w:val="003270EC"/>
    <w:rsid w:val="0032734D"/>
    <w:rsid w:val="003273BE"/>
    <w:rsid w:val="003276EB"/>
    <w:rsid w:val="003279C8"/>
    <w:rsid w:val="00327B1C"/>
    <w:rsid w:val="00327B2E"/>
    <w:rsid w:val="00327BCE"/>
    <w:rsid w:val="003308D8"/>
    <w:rsid w:val="00330B71"/>
    <w:rsid w:val="00330DED"/>
    <w:rsid w:val="00331223"/>
    <w:rsid w:val="00331377"/>
    <w:rsid w:val="003314AA"/>
    <w:rsid w:val="00331754"/>
    <w:rsid w:val="00331EB0"/>
    <w:rsid w:val="00331FF1"/>
    <w:rsid w:val="00332602"/>
    <w:rsid w:val="00332653"/>
    <w:rsid w:val="0033281F"/>
    <w:rsid w:val="0033284E"/>
    <w:rsid w:val="0033296B"/>
    <w:rsid w:val="00332BEA"/>
    <w:rsid w:val="00332E7B"/>
    <w:rsid w:val="00332FF4"/>
    <w:rsid w:val="003332CC"/>
    <w:rsid w:val="00333A58"/>
    <w:rsid w:val="00333AE1"/>
    <w:rsid w:val="00333D12"/>
    <w:rsid w:val="00333D9B"/>
    <w:rsid w:val="003343D4"/>
    <w:rsid w:val="00334620"/>
    <w:rsid w:val="0033470C"/>
    <w:rsid w:val="003347F7"/>
    <w:rsid w:val="003348B1"/>
    <w:rsid w:val="003348C3"/>
    <w:rsid w:val="00334CBD"/>
    <w:rsid w:val="00335020"/>
    <w:rsid w:val="00335B14"/>
    <w:rsid w:val="0033609B"/>
    <w:rsid w:val="0033613A"/>
    <w:rsid w:val="00336192"/>
    <w:rsid w:val="00336402"/>
    <w:rsid w:val="0033687F"/>
    <w:rsid w:val="00336A90"/>
    <w:rsid w:val="00336D50"/>
    <w:rsid w:val="00336DE4"/>
    <w:rsid w:val="00337249"/>
    <w:rsid w:val="0033772F"/>
    <w:rsid w:val="00337F41"/>
    <w:rsid w:val="003406F6"/>
    <w:rsid w:val="00340734"/>
    <w:rsid w:val="003407A9"/>
    <w:rsid w:val="003407EA"/>
    <w:rsid w:val="00340942"/>
    <w:rsid w:val="0034094D"/>
    <w:rsid w:val="00340968"/>
    <w:rsid w:val="00341122"/>
    <w:rsid w:val="00341410"/>
    <w:rsid w:val="003417CB"/>
    <w:rsid w:val="00341ACB"/>
    <w:rsid w:val="003421B1"/>
    <w:rsid w:val="003422EB"/>
    <w:rsid w:val="003423CD"/>
    <w:rsid w:val="00342596"/>
    <w:rsid w:val="00342618"/>
    <w:rsid w:val="00342819"/>
    <w:rsid w:val="00342937"/>
    <w:rsid w:val="00342E58"/>
    <w:rsid w:val="00343210"/>
    <w:rsid w:val="00343A8D"/>
    <w:rsid w:val="00343E32"/>
    <w:rsid w:val="00343FB4"/>
    <w:rsid w:val="00344127"/>
    <w:rsid w:val="0034414B"/>
    <w:rsid w:val="0034428E"/>
    <w:rsid w:val="00344343"/>
    <w:rsid w:val="003443B9"/>
    <w:rsid w:val="00344981"/>
    <w:rsid w:val="00344B04"/>
    <w:rsid w:val="00344B7C"/>
    <w:rsid w:val="00344BE7"/>
    <w:rsid w:val="00344DB9"/>
    <w:rsid w:val="00344F0C"/>
    <w:rsid w:val="00345355"/>
    <w:rsid w:val="00345371"/>
    <w:rsid w:val="003458DE"/>
    <w:rsid w:val="00345BFD"/>
    <w:rsid w:val="00345C5E"/>
    <w:rsid w:val="00345C9E"/>
    <w:rsid w:val="003462FE"/>
    <w:rsid w:val="00346322"/>
    <w:rsid w:val="00346C52"/>
    <w:rsid w:val="00347221"/>
    <w:rsid w:val="00347254"/>
    <w:rsid w:val="0034734C"/>
    <w:rsid w:val="003473E3"/>
    <w:rsid w:val="003476DE"/>
    <w:rsid w:val="003501BB"/>
    <w:rsid w:val="003502A2"/>
    <w:rsid w:val="00350382"/>
    <w:rsid w:val="0035064C"/>
    <w:rsid w:val="00350841"/>
    <w:rsid w:val="003508E9"/>
    <w:rsid w:val="00350EE2"/>
    <w:rsid w:val="00350F49"/>
    <w:rsid w:val="00350F64"/>
    <w:rsid w:val="00351205"/>
    <w:rsid w:val="00351470"/>
    <w:rsid w:val="00351F2A"/>
    <w:rsid w:val="00351FDD"/>
    <w:rsid w:val="00351FFF"/>
    <w:rsid w:val="0035255A"/>
    <w:rsid w:val="0035267B"/>
    <w:rsid w:val="0035274A"/>
    <w:rsid w:val="00352ABD"/>
    <w:rsid w:val="00352CAC"/>
    <w:rsid w:val="003534DE"/>
    <w:rsid w:val="00353DB1"/>
    <w:rsid w:val="003542F0"/>
    <w:rsid w:val="00354D59"/>
    <w:rsid w:val="00354DF1"/>
    <w:rsid w:val="00355276"/>
    <w:rsid w:val="0035546A"/>
    <w:rsid w:val="00355470"/>
    <w:rsid w:val="00355602"/>
    <w:rsid w:val="00355AB9"/>
    <w:rsid w:val="00356234"/>
    <w:rsid w:val="003569B9"/>
    <w:rsid w:val="00356A78"/>
    <w:rsid w:val="0035767A"/>
    <w:rsid w:val="00357722"/>
    <w:rsid w:val="003578FD"/>
    <w:rsid w:val="0035793D"/>
    <w:rsid w:val="00357B04"/>
    <w:rsid w:val="00357C5B"/>
    <w:rsid w:val="00357DCF"/>
    <w:rsid w:val="00357E77"/>
    <w:rsid w:val="00360186"/>
    <w:rsid w:val="00360265"/>
    <w:rsid w:val="00360448"/>
    <w:rsid w:val="00360975"/>
    <w:rsid w:val="00360E03"/>
    <w:rsid w:val="00360E70"/>
    <w:rsid w:val="00361130"/>
    <w:rsid w:val="00361168"/>
    <w:rsid w:val="0036131E"/>
    <w:rsid w:val="003614D8"/>
    <w:rsid w:val="00361AE8"/>
    <w:rsid w:val="00361BCF"/>
    <w:rsid w:val="00361C6F"/>
    <w:rsid w:val="00361FBF"/>
    <w:rsid w:val="00362073"/>
    <w:rsid w:val="00362168"/>
    <w:rsid w:val="00362636"/>
    <w:rsid w:val="003627B8"/>
    <w:rsid w:val="00362BF1"/>
    <w:rsid w:val="003635C2"/>
    <w:rsid w:val="003635D7"/>
    <w:rsid w:val="0036379A"/>
    <w:rsid w:val="00363808"/>
    <w:rsid w:val="0036398D"/>
    <w:rsid w:val="003639AB"/>
    <w:rsid w:val="00364575"/>
    <w:rsid w:val="0036494A"/>
    <w:rsid w:val="00364B73"/>
    <w:rsid w:val="0036512E"/>
    <w:rsid w:val="00365265"/>
    <w:rsid w:val="00365312"/>
    <w:rsid w:val="0036536A"/>
    <w:rsid w:val="0036537E"/>
    <w:rsid w:val="00365875"/>
    <w:rsid w:val="003658AB"/>
    <w:rsid w:val="00365942"/>
    <w:rsid w:val="0036597C"/>
    <w:rsid w:val="003659AF"/>
    <w:rsid w:val="00365CF2"/>
    <w:rsid w:val="00365DAC"/>
    <w:rsid w:val="00365F36"/>
    <w:rsid w:val="0036627A"/>
    <w:rsid w:val="003662C6"/>
    <w:rsid w:val="00366346"/>
    <w:rsid w:val="003663A2"/>
    <w:rsid w:val="003664F6"/>
    <w:rsid w:val="00366625"/>
    <w:rsid w:val="003667AE"/>
    <w:rsid w:val="00366BA4"/>
    <w:rsid w:val="00366EF0"/>
    <w:rsid w:val="00366F12"/>
    <w:rsid w:val="0036721F"/>
    <w:rsid w:val="00367503"/>
    <w:rsid w:val="0036767D"/>
    <w:rsid w:val="00367745"/>
    <w:rsid w:val="003679B2"/>
    <w:rsid w:val="00367DAB"/>
    <w:rsid w:val="00367F19"/>
    <w:rsid w:val="00370543"/>
    <w:rsid w:val="003708E4"/>
    <w:rsid w:val="00370D84"/>
    <w:rsid w:val="00370DC6"/>
    <w:rsid w:val="00370DEE"/>
    <w:rsid w:val="00371564"/>
    <w:rsid w:val="003716D4"/>
    <w:rsid w:val="003718FC"/>
    <w:rsid w:val="00371BAE"/>
    <w:rsid w:val="00371CA3"/>
    <w:rsid w:val="00371F12"/>
    <w:rsid w:val="00372000"/>
    <w:rsid w:val="00372160"/>
    <w:rsid w:val="00372551"/>
    <w:rsid w:val="003727C0"/>
    <w:rsid w:val="00372FC5"/>
    <w:rsid w:val="00373177"/>
    <w:rsid w:val="003739DE"/>
    <w:rsid w:val="00373EC4"/>
    <w:rsid w:val="003743C5"/>
    <w:rsid w:val="00374683"/>
    <w:rsid w:val="003748EC"/>
    <w:rsid w:val="00374C3F"/>
    <w:rsid w:val="00374D3B"/>
    <w:rsid w:val="003750FE"/>
    <w:rsid w:val="00375395"/>
    <w:rsid w:val="003755B2"/>
    <w:rsid w:val="00375BFF"/>
    <w:rsid w:val="00375F42"/>
    <w:rsid w:val="0037649A"/>
    <w:rsid w:val="0037652E"/>
    <w:rsid w:val="0037683F"/>
    <w:rsid w:val="003769B2"/>
    <w:rsid w:val="00377023"/>
    <w:rsid w:val="0037712A"/>
    <w:rsid w:val="003773C7"/>
    <w:rsid w:val="00377577"/>
    <w:rsid w:val="00377BF0"/>
    <w:rsid w:val="00377C2C"/>
    <w:rsid w:val="00377C88"/>
    <w:rsid w:val="00377EFD"/>
    <w:rsid w:val="00377F0B"/>
    <w:rsid w:val="00380314"/>
    <w:rsid w:val="0038061B"/>
    <w:rsid w:val="00380977"/>
    <w:rsid w:val="00380B4C"/>
    <w:rsid w:val="00380BA0"/>
    <w:rsid w:val="00380BAD"/>
    <w:rsid w:val="00380C58"/>
    <w:rsid w:val="00380C8D"/>
    <w:rsid w:val="0038105C"/>
    <w:rsid w:val="00381064"/>
    <w:rsid w:val="00381690"/>
    <w:rsid w:val="0038181E"/>
    <w:rsid w:val="003819E4"/>
    <w:rsid w:val="00381A9B"/>
    <w:rsid w:val="00381B22"/>
    <w:rsid w:val="00381B43"/>
    <w:rsid w:val="00381E68"/>
    <w:rsid w:val="00382219"/>
    <w:rsid w:val="003822A9"/>
    <w:rsid w:val="00382419"/>
    <w:rsid w:val="00382A02"/>
    <w:rsid w:val="00382A4A"/>
    <w:rsid w:val="00382AA5"/>
    <w:rsid w:val="00382AD4"/>
    <w:rsid w:val="00382C9C"/>
    <w:rsid w:val="00382CF8"/>
    <w:rsid w:val="003831F7"/>
    <w:rsid w:val="00383598"/>
    <w:rsid w:val="00383FF0"/>
    <w:rsid w:val="0038431C"/>
    <w:rsid w:val="003843F0"/>
    <w:rsid w:val="003844FE"/>
    <w:rsid w:val="00384BDE"/>
    <w:rsid w:val="00384DAE"/>
    <w:rsid w:val="00384EB4"/>
    <w:rsid w:val="00384F74"/>
    <w:rsid w:val="003851E4"/>
    <w:rsid w:val="0038539A"/>
    <w:rsid w:val="003854F7"/>
    <w:rsid w:val="003856A8"/>
    <w:rsid w:val="00385C25"/>
    <w:rsid w:val="00385D74"/>
    <w:rsid w:val="00385E02"/>
    <w:rsid w:val="00386064"/>
    <w:rsid w:val="0038609F"/>
    <w:rsid w:val="003861F4"/>
    <w:rsid w:val="00386307"/>
    <w:rsid w:val="0038671F"/>
    <w:rsid w:val="003867D6"/>
    <w:rsid w:val="00386EE7"/>
    <w:rsid w:val="00387128"/>
    <w:rsid w:val="003872FB"/>
    <w:rsid w:val="003876FD"/>
    <w:rsid w:val="00387787"/>
    <w:rsid w:val="00387840"/>
    <w:rsid w:val="00387C20"/>
    <w:rsid w:val="00387DC0"/>
    <w:rsid w:val="003900D5"/>
    <w:rsid w:val="00390984"/>
    <w:rsid w:val="00390C13"/>
    <w:rsid w:val="00390E9F"/>
    <w:rsid w:val="00391343"/>
    <w:rsid w:val="003913D4"/>
    <w:rsid w:val="00391829"/>
    <w:rsid w:val="003919DC"/>
    <w:rsid w:val="00391B7E"/>
    <w:rsid w:val="0039203F"/>
    <w:rsid w:val="003927B6"/>
    <w:rsid w:val="00393264"/>
    <w:rsid w:val="00393EB7"/>
    <w:rsid w:val="003940B8"/>
    <w:rsid w:val="00394364"/>
    <w:rsid w:val="003943EE"/>
    <w:rsid w:val="0039487E"/>
    <w:rsid w:val="00394E55"/>
    <w:rsid w:val="00395037"/>
    <w:rsid w:val="0039509E"/>
    <w:rsid w:val="003951FD"/>
    <w:rsid w:val="00395B96"/>
    <w:rsid w:val="00395C9E"/>
    <w:rsid w:val="00395D39"/>
    <w:rsid w:val="003962C1"/>
    <w:rsid w:val="003964AF"/>
    <w:rsid w:val="0039654A"/>
    <w:rsid w:val="003965CA"/>
    <w:rsid w:val="00396657"/>
    <w:rsid w:val="003967C6"/>
    <w:rsid w:val="00396817"/>
    <w:rsid w:val="00396DD4"/>
    <w:rsid w:val="00396E92"/>
    <w:rsid w:val="00396ECD"/>
    <w:rsid w:val="00396F97"/>
    <w:rsid w:val="00397079"/>
    <w:rsid w:val="00397678"/>
    <w:rsid w:val="003978F8"/>
    <w:rsid w:val="00397DB3"/>
    <w:rsid w:val="003A07B8"/>
    <w:rsid w:val="003A0BA3"/>
    <w:rsid w:val="003A0C4D"/>
    <w:rsid w:val="003A0EA7"/>
    <w:rsid w:val="003A123B"/>
    <w:rsid w:val="003A1391"/>
    <w:rsid w:val="003A14B6"/>
    <w:rsid w:val="003A17FA"/>
    <w:rsid w:val="003A18D0"/>
    <w:rsid w:val="003A1BAD"/>
    <w:rsid w:val="003A204C"/>
    <w:rsid w:val="003A2345"/>
    <w:rsid w:val="003A2920"/>
    <w:rsid w:val="003A2E7F"/>
    <w:rsid w:val="003A3275"/>
    <w:rsid w:val="003A339C"/>
    <w:rsid w:val="003A362E"/>
    <w:rsid w:val="003A3667"/>
    <w:rsid w:val="003A3B06"/>
    <w:rsid w:val="003A3E0A"/>
    <w:rsid w:val="003A3FB4"/>
    <w:rsid w:val="003A4096"/>
    <w:rsid w:val="003A432A"/>
    <w:rsid w:val="003A455D"/>
    <w:rsid w:val="003A4BC6"/>
    <w:rsid w:val="003A4C56"/>
    <w:rsid w:val="003A509A"/>
    <w:rsid w:val="003A51CF"/>
    <w:rsid w:val="003A55DA"/>
    <w:rsid w:val="003A576E"/>
    <w:rsid w:val="003A5BDC"/>
    <w:rsid w:val="003A5F7C"/>
    <w:rsid w:val="003A5F81"/>
    <w:rsid w:val="003A606D"/>
    <w:rsid w:val="003A6179"/>
    <w:rsid w:val="003A6448"/>
    <w:rsid w:val="003A6D1D"/>
    <w:rsid w:val="003A7362"/>
    <w:rsid w:val="003A7483"/>
    <w:rsid w:val="003A770B"/>
    <w:rsid w:val="003A7B02"/>
    <w:rsid w:val="003A7E40"/>
    <w:rsid w:val="003A7F2C"/>
    <w:rsid w:val="003B067B"/>
    <w:rsid w:val="003B0A0B"/>
    <w:rsid w:val="003B10C7"/>
    <w:rsid w:val="003B10D7"/>
    <w:rsid w:val="003B15EF"/>
    <w:rsid w:val="003B1636"/>
    <w:rsid w:val="003B19B3"/>
    <w:rsid w:val="003B1ACE"/>
    <w:rsid w:val="003B1FD9"/>
    <w:rsid w:val="003B2039"/>
    <w:rsid w:val="003B2055"/>
    <w:rsid w:val="003B24F9"/>
    <w:rsid w:val="003B25F1"/>
    <w:rsid w:val="003B2821"/>
    <w:rsid w:val="003B2BE0"/>
    <w:rsid w:val="003B2D09"/>
    <w:rsid w:val="003B2E2D"/>
    <w:rsid w:val="003B2F29"/>
    <w:rsid w:val="003B31D8"/>
    <w:rsid w:val="003B343B"/>
    <w:rsid w:val="003B3832"/>
    <w:rsid w:val="003B3D8F"/>
    <w:rsid w:val="003B458F"/>
    <w:rsid w:val="003B498C"/>
    <w:rsid w:val="003B499B"/>
    <w:rsid w:val="003B4D23"/>
    <w:rsid w:val="003B50ED"/>
    <w:rsid w:val="003B5497"/>
    <w:rsid w:val="003B55B3"/>
    <w:rsid w:val="003B56DA"/>
    <w:rsid w:val="003B6062"/>
    <w:rsid w:val="003B617E"/>
    <w:rsid w:val="003B6563"/>
    <w:rsid w:val="003B65AA"/>
    <w:rsid w:val="003B6C57"/>
    <w:rsid w:val="003B74F4"/>
    <w:rsid w:val="003B75E2"/>
    <w:rsid w:val="003B75FB"/>
    <w:rsid w:val="003B7902"/>
    <w:rsid w:val="003B7D4E"/>
    <w:rsid w:val="003B7DEF"/>
    <w:rsid w:val="003B7EA2"/>
    <w:rsid w:val="003C0145"/>
    <w:rsid w:val="003C0211"/>
    <w:rsid w:val="003C06DD"/>
    <w:rsid w:val="003C075E"/>
    <w:rsid w:val="003C0A51"/>
    <w:rsid w:val="003C0A82"/>
    <w:rsid w:val="003C1241"/>
    <w:rsid w:val="003C1393"/>
    <w:rsid w:val="003C14E6"/>
    <w:rsid w:val="003C1617"/>
    <w:rsid w:val="003C1620"/>
    <w:rsid w:val="003C1AFE"/>
    <w:rsid w:val="003C1B44"/>
    <w:rsid w:val="003C1CF0"/>
    <w:rsid w:val="003C1E83"/>
    <w:rsid w:val="003C25BB"/>
    <w:rsid w:val="003C27F9"/>
    <w:rsid w:val="003C2F9E"/>
    <w:rsid w:val="003C3374"/>
    <w:rsid w:val="003C3648"/>
    <w:rsid w:val="003C3A9B"/>
    <w:rsid w:val="003C3C98"/>
    <w:rsid w:val="003C3D74"/>
    <w:rsid w:val="003C3DC6"/>
    <w:rsid w:val="003C4876"/>
    <w:rsid w:val="003C48D6"/>
    <w:rsid w:val="003C48F8"/>
    <w:rsid w:val="003C4AA6"/>
    <w:rsid w:val="003C501B"/>
    <w:rsid w:val="003C521A"/>
    <w:rsid w:val="003C52ED"/>
    <w:rsid w:val="003C5419"/>
    <w:rsid w:val="003C5560"/>
    <w:rsid w:val="003C5619"/>
    <w:rsid w:val="003C5969"/>
    <w:rsid w:val="003C5D9C"/>
    <w:rsid w:val="003C5ECC"/>
    <w:rsid w:val="003C63EF"/>
    <w:rsid w:val="003C69A7"/>
    <w:rsid w:val="003C6ADB"/>
    <w:rsid w:val="003C6B1C"/>
    <w:rsid w:val="003C6B2D"/>
    <w:rsid w:val="003C6D6E"/>
    <w:rsid w:val="003C7063"/>
    <w:rsid w:val="003C736F"/>
    <w:rsid w:val="003C7496"/>
    <w:rsid w:val="003C757B"/>
    <w:rsid w:val="003D0066"/>
    <w:rsid w:val="003D0210"/>
    <w:rsid w:val="003D06F6"/>
    <w:rsid w:val="003D086A"/>
    <w:rsid w:val="003D0DE9"/>
    <w:rsid w:val="003D163D"/>
    <w:rsid w:val="003D1691"/>
    <w:rsid w:val="003D2158"/>
    <w:rsid w:val="003D2273"/>
    <w:rsid w:val="003D27BD"/>
    <w:rsid w:val="003D2BB4"/>
    <w:rsid w:val="003D2D51"/>
    <w:rsid w:val="003D2F61"/>
    <w:rsid w:val="003D31DE"/>
    <w:rsid w:val="003D3633"/>
    <w:rsid w:val="003D364C"/>
    <w:rsid w:val="003D39AE"/>
    <w:rsid w:val="003D3C11"/>
    <w:rsid w:val="003D3D31"/>
    <w:rsid w:val="003D3FA3"/>
    <w:rsid w:val="003D4085"/>
    <w:rsid w:val="003D4387"/>
    <w:rsid w:val="003D43CA"/>
    <w:rsid w:val="003D449E"/>
    <w:rsid w:val="003D44B7"/>
    <w:rsid w:val="003D44D4"/>
    <w:rsid w:val="003D4AB8"/>
    <w:rsid w:val="003D4BBD"/>
    <w:rsid w:val="003D4BD4"/>
    <w:rsid w:val="003D4F8D"/>
    <w:rsid w:val="003D5095"/>
    <w:rsid w:val="003D5285"/>
    <w:rsid w:val="003D530A"/>
    <w:rsid w:val="003D55DE"/>
    <w:rsid w:val="003D57A6"/>
    <w:rsid w:val="003D5816"/>
    <w:rsid w:val="003D5B3C"/>
    <w:rsid w:val="003D5C8B"/>
    <w:rsid w:val="003D606C"/>
    <w:rsid w:val="003D6659"/>
    <w:rsid w:val="003D6843"/>
    <w:rsid w:val="003D69A2"/>
    <w:rsid w:val="003D6A43"/>
    <w:rsid w:val="003D7341"/>
    <w:rsid w:val="003D7A7D"/>
    <w:rsid w:val="003D7A85"/>
    <w:rsid w:val="003E0596"/>
    <w:rsid w:val="003E067F"/>
    <w:rsid w:val="003E08E6"/>
    <w:rsid w:val="003E099F"/>
    <w:rsid w:val="003E0A3A"/>
    <w:rsid w:val="003E0F37"/>
    <w:rsid w:val="003E106F"/>
    <w:rsid w:val="003E10BB"/>
    <w:rsid w:val="003E1343"/>
    <w:rsid w:val="003E13CB"/>
    <w:rsid w:val="003E17F7"/>
    <w:rsid w:val="003E1F4C"/>
    <w:rsid w:val="003E205A"/>
    <w:rsid w:val="003E2168"/>
    <w:rsid w:val="003E2428"/>
    <w:rsid w:val="003E2639"/>
    <w:rsid w:val="003E27B7"/>
    <w:rsid w:val="003E2B31"/>
    <w:rsid w:val="003E2BB0"/>
    <w:rsid w:val="003E2C91"/>
    <w:rsid w:val="003E3371"/>
    <w:rsid w:val="003E38E1"/>
    <w:rsid w:val="003E401C"/>
    <w:rsid w:val="003E4071"/>
    <w:rsid w:val="003E4075"/>
    <w:rsid w:val="003E4270"/>
    <w:rsid w:val="003E4738"/>
    <w:rsid w:val="003E4A3B"/>
    <w:rsid w:val="003E4AEB"/>
    <w:rsid w:val="003E4EB9"/>
    <w:rsid w:val="003E4F2A"/>
    <w:rsid w:val="003E50C6"/>
    <w:rsid w:val="003E52D8"/>
    <w:rsid w:val="003E55C0"/>
    <w:rsid w:val="003E583D"/>
    <w:rsid w:val="003E5E80"/>
    <w:rsid w:val="003E5F1D"/>
    <w:rsid w:val="003E60D1"/>
    <w:rsid w:val="003E6110"/>
    <w:rsid w:val="003E637B"/>
    <w:rsid w:val="003E640E"/>
    <w:rsid w:val="003E646B"/>
    <w:rsid w:val="003E6494"/>
    <w:rsid w:val="003E6524"/>
    <w:rsid w:val="003E678D"/>
    <w:rsid w:val="003E6A34"/>
    <w:rsid w:val="003E6B30"/>
    <w:rsid w:val="003E71FC"/>
    <w:rsid w:val="003E72AD"/>
    <w:rsid w:val="003E73F4"/>
    <w:rsid w:val="003E77FE"/>
    <w:rsid w:val="003E79B3"/>
    <w:rsid w:val="003E7A30"/>
    <w:rsid w:val="003F02E2"/>
    <w:rsid w:val="003F0562"/>
    <w:rsid w:val="003F086F"/>
    <w:rsid w:val="003F0B2E"/>
    <w:rsid w:val="003F0D7C"/>
    <w:rsid w:val="003F0EA2"/>
    <w:rsid w:val="003F1054"/>
    <w:rsid w:val="003F10EF"/>
    <w:rsid w:val="003F1113"/>
    <w:rsid w:val="003F120B"/>
    <w:rsid w:val="003F12D8"/>
    <w:rsid w:val="003F13AD"/>
    <w:rsid w:val="003F1540"/>
    <w:rsid w:val="003F1682"/>
    <w:rsid w:val="003F1B8E"/>
    <w:rsid w:val="003F1FE5"/>
    <w:rsid w:val="003F2A5E"/>
    <w:rsid w:val="003F2E32"/>
    <w:rsid w:val="003F3202"/>
    <w:rsid w:val="003F3275"/>
    <w:rsid w:val="003F368A"/>
    <w:rsid w:val="003F38F0"/>
    <w:rsid w:val="003F3902"/>
    <w:rsid w:val="003F3DD9"/>
    <w:rsid w:val="003F3FD0"/>
    <w:rsid w:val="003F4399"/>
    <w:rsid w:val="003F4726"/>
    <w:rsid w:val="003F4AC0"/>
    <w:rsid w:val="003F4F3E"/>
    <w:rsid w:val="003F50D8"/>
    <w:rsid w:val="003F513E"/>
    <w:rsid w:val="003F55FF"/>
    <w:rsid w:val="003F5783"/>
    <w:rsid w:val="003F59A9"/>
    <w:rsid w:val="003F5B10"/>
    <w:rsid w:val="003F678E"/>
    <w:rsid w:val="003F68B0"/>
    <w:rsid w:val="003F7000"/>
    <w:rsid w:val="003F7781"/>
    <w:rsid w:val="003F7794"/>
    <w:rsid w:val="003F77CB"/>
    <w:rsid w:val="003F7ABB"/>
    <w:rsid w:val="003F7CDE"/>
    <w:rsid w:val="00400045"/>
    <w:rsid w:val="004004F0"/>
    <w:rsid w:val="0040064E"/>
    <w:rsid w:val="00400703"/>
    <w:rsid w:val="00400942"/>
    <w:rsid w:val="00400967"/>
    <w:rsid w:val="00400C22"/>
    <w:rsid w:val="00401012"/>
    <w:rsid w:val="004011BC"/>
    <w:rsid w:val="00401331"/>
    <w:rsid w:val="00401670"/>
    <w:rsid w:val="0040178A"/>
    <w:rsid w:val="00401AA5"/>
    <w:rsid w:val="004026B9"/>
    <w:rsid w:val="00402FBD"/>
    <w:rsid w:val="004038FE"/>
    <w:rsid w:val="00403CB3"/>
    <w:rsid w:val="00403DC4"/>
    <w:rsid w:val="00403E53"/>
    <w:rsid w:val="004040F3"/>
    <w:rsid w:val="004041E6"/>
    <w:rsid w:val="004042E4"/>
    <w:rsid w:val="004044A0"/>
    <w:rsid w:val="00404531"/>
    <w:rsid w:val="00404549"/>
    <w:rsid w:val="00404796"/>
    <w:rsid w:val="00404835"/>
    <w:rsid w:val="004049F3"/>
    <w:rsid w:val="00404B22"/>
    <w:rsid w:val="00404D81"/>
    <w:rsid w:val="00404F8C"/>
    <w:rsid w:val="004057A8"/>
    <w:rsid w:val="00406508"/>
    <w:rsid w:val="00406DBA"/>
    <w:rsid w:val="00406E9D"/>
    <w:rsid w:val="00407046"/>
    <w:rsid w:val="00407100"/>
    <w:rsid w:val="00407138"/>
    <w:rsid w:val="004073D0"/>
    <w:rsid w:val="0041033C"/>
    <w:rsid w:val="0041040A"/>
    <w:rsid w:val="0041077B"/>
    <w:rsid w:val="00410880"/>
    <w:rsid w:val="00410F4F"/>
    <w:rsid w:val="0041106C"/>
    <w:rsid w:val="004111BB"/>
    <w:rsid w:val="00411213"/>
    <w:rsid w:val="004116C7"/>
    <w:rsid w:val="00411A7A"/>
    <w:rsid w:val="00411DFD"/>
    <w:rsid w:val="00411EE3"/>
    <w:rsid w:val="004122BB"/>
    <w:rsid w:val="004122E7"/>
    <w:rsid w:val="004125B7"/>
    <w:rsid w:val="00412B77"/>
    <w:rsid w:val="00412C39"/>
    <w:rsid w:val="00412E01"/>
    <w:rsid w:val="00413427"/>
    <w:rsid w:val="00413477"/>
    <w:rsid w:val="0041361F"/>
    <w:rsid w:val="00413BEF"/>
    <w:rsid w:val="00414118"/>
    <w:rsid w:val="00414666"/>
    <w:rsid w:val="00414896"/>
    <w:rsid w:val="00415085"/>
    <w:rsid w:val="004155BD"/>
    <w:rsid w:val="00415C00"/>
    <w:rsid w:val="00415CA3"/>
    <w:rsid w:val="00415CAB"/>
    <w:rsid w:val="0041600C"/>
    <w:rsid w:val="00416064"/>
    <w:rsid w:val="00416154"/>
    <w:rsid w:val="0041637D"/>
    <w:rsid w:val="00416566"/>
    <w:rsid w:val="004166CD"/>
    <w:rsid w:val="004167E9"/>
    <w:rsid w:val="00416852"/>
    <w:rsid w:val="004168F4"/>
    <w:rsid w:val="00416982"/>
    <w:rsid w:val="00416E51"/>
    <w:rsid w:val="00417486"/>
    <w:rsid w:val="0041757A"/>
    <w:rsid w:val="0041763D"/>
    <w:rsid w:val="004177B0"/>
    <w:rsid w:val="00417D22"/>
    <w:rsid w:val="00417D6B"/>
    <w:rsid w:val="00420130"/>
    <w:rsid w:val="004209B9"/>
    <w:rsid w:val="00420F8F"/>
    <w:rsid w:val="00421158"/>
    <w:rsid w:val="0042118A"/>
    <w:rsid w:val="004212A2"/>
    <w:rsid w:val="004216FC"/>
    <w:rsid w:val="0042189E"/>
    <w:rsid w:val="004218D4"/>
    <w:rsid w:val="00421B9D"/>
    <w:rsid w:val="00421EDD"/>
    <w:rsid w:val="004220A2"/>
    <w:rsid w:val="0042235F"/>
    <w:rsid w:val="00422861"/>
    <w:rsid w:val="00422B1A"/>
    <w:rsid w:val="00422CBC"/>
    <w:rsid w:val="004233CD"/>
    <w:rsid w:val="00423405"/>
    <w:rsid w:val="00423937"/>
    <w:rsid w:val="00423E89"/>
    <w:rsid w:val="004243A5"/>
    <w:rsid w:val="00424414"/>
    <w:rsid w:val="00424705"/>
    <w:rsid w:val="0042490A"/>
    <w:rsid w:val="00424967"/>
    <w:rsid w:val="004249E2"/>
    <w:rsid w:val="00424A9B"/>
    <w:rsid w:val="00424DBE"/>
    <w:rsid w:val="00424E17"/>
    <w:rsid w:val="00425054"/>
    <w:rsid w:val="0042514B"/>
    <w:rsid w:val="004256DB"/>
    <w:rsid w:val="00425C33"/>
    <w:rsid w:val="00425DE0"/>
    <w:rsid w:val="00425E6E"/>
    <w:rsid w:val="0042621C"/>
    <w:rsid w:val="00426392"/>
    <w:rsid w:val="00426482"/>
    <w:rsid w:val="0042667F"/>
    <w:rsid w:val="0042786D"/>
    <w:rsid w:val="00427E2A"/>
    <w:rsid w:val="00427E59"/>
    <w:rsid w:val="00427E74"/>
    <w:rsid w:val="00430466"/>
    <w:rsid w:val="00430765"/>
    <w:rsid w:val="00430992"/>
    <w:rsid w:val="00430AAA"/>
    <w:rsid w:val="00430AC4"/>
    <w:rsid w:val="00430B91"/>
    <w:rsid w:val="00430FC5"/>
    <w:rsid w:val="00430FCF"/>
    <w:rsid w:val="0043111F"/>
    <w:rsid w:val="00431386"/>
    <w:rsid w:val="004317AB"/>
    <w:rsid w:val="00431A36"/>
    <w:rsid w:val="00431BD1"/>
    <w:rsid w:val="00431C29"/>
    <w:rsid w:val="00431C87"/>
    <w:rsid w:val="00431FBF"/>
    <w:rsid w:val="00432049"/>
    <w:rsid w:val="004321FB"/>
    <w:rsid w:val="004322A9"/>
    <w:rsid w:val="00432680"/>
    <w:rsid w:val="00432C41"/>
    <w:rsid w:val="00432C95"/>
    <w:rsid w:val="00433218"/>
    <w:rsid w:val="0043353A"/>
    <w:rsid w:val="00433814"/>
    <w:rsid w:val="004343AC"/>
    <w:rsid w:val="00434508"/>
    <w:rsid w:val="004347C5"/>
    <w:rsid w:val="00434964"/>
    <w:rsid w:val="0043497C"/>
    <w:rsid w:val="004349AB"/>
    <w:rsid w:val="00434A03"/>
    <w:rsid w:val="00434A6D"/>
    <w:rsid w:val="00434B4B"/>
    <w:rsid w:val="00434BE5"/>
    <w:rsid w:val="00434EC2"/>
    <w:rsid w:val="004350CC"/>
    <w:rsid w:val="004351EA"/>
    <w:rsid w:val="004355E7"/>
    <w:rsid w:val="00435816"/>
    <w:rsid w:val="00435A87"/>
    <w:rsid w:val="00435F41"/>
    <w:rsid w:val="00435F50"/>
    <w:rsid w:val="00435F62"/>
    <w:rsid w:val="0043631D"/>
    <w:rsid w:val="004363A2"/>
    <w:rsid w:val="004363B9"/>
    <w:rsid w:val="00436505"/>
    <w:rsid w:val="00436A79"/>
    <w:rsid w:val="00437570"/>
    <w:rsid w:val="0043787D"/>
    <w:rsid w:val="00437B84"/>
    <w:rsid w:val="00437D97"/>
    <w:rsid w:val="00437E43"/>
    <w:rsid w:val="0044033E"/>
    <w:rsid w:val="00440D71"/>
    <w:rsid w:val="00440F03"/>
    <w:rsid w:val="00440F32"/>
    <w:rsid w:val="004412E1"/>
    <w:rsid w:val="0044149A"/>
    <w:rsid w:val="00441A38"/>
    <w:rsid w:val="00441EB4"/>
    <w:rsid w:val="00441F09"/>
    <w:rsid w:val="00441F29"/>
    <w:rsid w:val="00441FE4"/>
    <w:rsid w:val="00442113"/>
    <w:rsid w:val="00442283"/>
    <w:rsid w:val="00442521"/>
    <w:rsid w:val="0044257B"/>
    <w:rsid w:val="004426F3"/>
    <w:rsid w:val="00442A87"/>
    <w:rsid w:val="00442C4F"/>
    <w:rsid w:val="00442D5D"/>
    <w:rsid w:val="00442EC9"/>
    <w:rsid w:val="0044325A"/>
    <w:rsid w:val="004434BF"/>
    <w:rsid w:val="00443734"/>
    <w:rsid w:val="00443790"/>
    <w:rsid w:val="004440A4"/>
    <w:rsid w:val="0044419E"/>
    <w:rsid w:val="004448CA"/>
    <w:rsid w:val="004449D7"/>
    <w:rsid w:val="004450F2"/>
    <w:rsid w:val="0044580F"/>
    <w:rsid w:val="00445920"/>
    <w:rsid w:val="00445BF3"/>
    <w:rsid w:val="00445E80"/>
    <w:rsid w:val="00445E97"/>
    <w:rsid w:val="00445FFA"/>
    <w:rsid w:val="004463EA"/>
    <w:rsid w:val="0044650F"/>
    <w:rsid w:val="00446D50"/>
    <w:rsid w:val="0044710C"/>
    <w:rsid w:val="00447292"/>
    <w:rsid w:val="004472DC"/>
    <w:rsid w:val="00447C18"/>
    <w:rsid w:val="00447DB6"/>
    <w:rsid w:val="00447E65"/>
    <w:rsid w:val="00447F39"/>
    <w:rsid w:val="00450145"/>
    <w:rsid w:val="004501AC"/>
    <w:rsid w:val="004502E9"/>
    <w:rsid w:val="00450B4E"/>
    <w:rsid w:val="00450EF5"/>
    <w:rsid w:val="0045138A"/>
    <w:rsid w:val="00451411"/>
    <w:rsid w:val="0045190D"/>
    <w:rsid w:val="00452090"/>
    <w:rsid w:val="0045235E"/>
    <w:rsid w:val="004528B4"/>
    <w:rsid w:val="00452B18"/>
    <w:rsid w:val="00452D0B"/>
    <w:rsid w:val="00453028"/>
    <w:rsid w:val="0045305F"/>
    <w:rsid w:val="0045320D"/>
    <w:rsid w:val="004538D8"/>
    <w:rsid w:val="00453C31"/>
    <w:rsid w:val="00453D36"/>
    <w:rsid w:val="004547B2"/>
    <w:rsid w:val="0045491A"/>
    <w:rsid w:val="00454B2A"/>
    <w:rsid w:val="00454BA0"/>
    <w:rsid w:val="00454BAB"/>
    <w:rsid w:val="00454C85"/>
    <w:rsid w:val="00454C90"/>
    <w:rsid w:val="00454E88"/>
    <w:rsid w:val="004550D3"/>
    <w:rsid w:val="00455514"/>
    <w:rsid w:val="004557B4"/>
    <w:rsid w:val="00455858"/>
    <w:rsid w:val="0045587B"/>
    <w:rsid w:val="00455BAD"/>
    <w:rsid w:val="00455BE0"/>
    <w:rsid w:val="00455BF3"/>
    <w:rsid w:val="00455C59"/>
    <w:rsid w:val="00455CF3"/>
    <w:rsid w:val="00455EF7"/>
    <w:rsid w:val="00456011"/>
    <w:rsid w:val="00456133"/>
    <w:rsid w:val="00456260"/>
    <w:rsid w:val="00456484"/>
    <w:rsid w:val="00456622"/>
    <w:rsid w:val="00456A6D"/>
    <w:rsid w:val="00456BE9"/>
    <w:rsid w:val="00456DA1"/>
    <w:rsid w:val="004570DC"/>
    <w:rsid w:val="004570FD"/>
    <w:rsid w:val="004574B5"/>
    <w:rsid w:val="004600FC"/>
    <w:rsid w:val="00460154"/>
    <w:rsid w:val="00460788"/>
    <w:rsid w:val="00460C06"/>
    <w:rsid w:val="00460DF9"/>
    <w:rsid w:val="00460E77"/>
    <w:rsid w:val="0046125C"/>
    <w:rsid w:val="0046139D"/>
    <w:rsid w:val="0046155D"/>
    <w:rsid w:val="00461639"/>
    <w:rsid w:val="00461B6B"/>
    <w:rsid w:val="00462133"/>
    <w:rsid w:val="0046280B"/>
    <w:rsid w:val="00462D32"/>
    <w:rsid w:val="00462E2B"/>
    <w:rsid w:val="00462FA1"/>
    <w:rsid w:val="00463087"/>
    <w:rsid w:val="00463092"/>
    <w:rsid w:val="00463278"/>
    <w:rsid w:val="0046361D"/>
    <w:rsid w:val="00463A04"/>
    <w:rsid w:val="00463D10"/>
    <w:rsid w:val="00463FC2"/>
    <w:rsid w:val="0046457D"/>
    <w:rsid w:val="00464655"/>
    <w:rsid w:val="00464992"/>
    <w:rsid w:val="00464A3A"/>
    <w:rsid w:val="00464C55"/>
    <w:rsid w:val="004659F8"/>
    <w:rsid w:val="00465CB6"/>
    <w:rsid w:val="00465F43"/>
    <w:rsid w:val="00466333"/>
    <w:rsid w:val="00466ACB"/>
    <w:rsid w:val="00466B38"/>
    <w:rsid w:val="0046723D"/>
    <w:rsid w:val="0046790D"/>
    <w:rsid w:val="00467967"/>
    <w:rsid w:val="0047089A"/>
    <w:rsid w:val="004709E7"/>
    <w:rsid w:val="0047102B"/>
    <w:rsid w:val="00471B4A"/>
    <w:rsid w:val="00471BEC"/>
    <w:rsid w:val="00471C2D"/>
    <w:rsid w:val="00471DB1"/>
    <w:rsid w:val="0047261C"/>
    <w:rsid w:val="004726B3"/>
    <w:rsid w:val="00472762"/>
    <w:rsid w:val="004728C9"/>
    <w:rsid w:val="00472E61"/>
    <w:rsid w:val="0047339D"/>
    <w:rsid w:val="00473477"/>
    <w:rsid w:val="00473965"/>
    <w:rsid w:val="00473B7D"/>
    <w:rsid w:val="004744AE"/>
    <w:rsid w:val="00474A64"/>
    <w:rsid w:val="00474BC6"/>
    <w:rsid w:val="00474D26"/>
    <w:rsid w:val="0047500B"/>
    <w:rsid w:val="0047520A"/>
    <w:rsid w:val="0047548C"/>
    <w:rsid w:val="00475513"/>
    <w:rsid w:val="004756EA"/>
    <w:rsid w:val="004756FE"/>
    <w:rsid w:val="00475885"/>
    <w:rsid w:val="00475990"/>
    <w:rsid w:val="00476675"/>
    <w:rsid w:val="004775CA"/>
    <w:rsid w:val="004776F2"/>
    <w:rsid w:val="00477D15"/>
    <w:rsid w:val="00480035"/>
    <w:rsid w:val="00480514"/>
    <w:rsid w:val="0048067B"/>
    <w:rsid w:val="004806F6"/>
    <w:rsid w:val="00480A7C"/>
    <w:rsid w:val="00481128"/>
    <w:rsid w:val="00481147"/>
    <w:rsid w:val="00481387"/>
    <w:rsid w:val="004818DA"/>
    <w:rsid w:val="0048198B"/>
    <w:rsid w:val="004824F8"/>
    <w:rsid w:val="004826CB"/>
    <w:rsid w:val="00482778"/>
    <w:rsid w:val="00482B7D"/>
    <w:rsid w:val="00482F36"/>
    <w:rsid w:val="004832B9"/>
    <w:rsid w:val="0048331B"/>
    <w:rsid w:val="0048368E"/>
    <w:rsid w:val="00483891"/>
    <w:rsid w:val="00483DE0"/>
    <w:rsid w:val="00483E4F"/>
    <w:rsid w:val="00483FD1"/>
    <w:rsid w:val="00484367"/>
    <w:rsid w:val="004843A6"/>
    <w:rsid w:val="00484756"/>
    <w:rsid w:val="00484C12"/>
    <w:rsid w:val="00485207"/>
    <w:rsid w:val="0048530B"/>
    <w:rsid w:val="00486452"/>
    <w:rsid w:val="0048687E"/>
    <w:rsid w:val="00486889"/>
    <w:rsid w:val="00486903"/>
    <w:rsid w:val="00486D1D"/>
    <w:rsid w:val="00486E68"/>
    <w:rsid w:val="00487108"/>
    <w:rsid w:val="00487306"/>
    <w:rsid w:val="004876A8"/>
    <w:rsid w:val="004876D8"/>
    <w:rsid w:val="00487901"/>
    <w:rsid w:val="00487B5D"/>
    <w:rsid w:val="00487C12"/>
    <w:rsid w:val="004903FB"/>
    <w:rsid w:val="00490784"/>
    <w:rsid w:val="004908D9"/>
    <w:rsid w:val="00491038"/>
    <w:rsid w:val="004910D9"/>
    <w:rsid w:val="00491F1F"/>
    <w:rsid w:val="004921B4"/>
    <w:rsid w:val="00492497"/>
    <w:rsid w:val="004924DD"/>
    <w:rsid w:val="004926FE"/>
    <w:rsid w:val="00492744"/>
    <w:rsid w:val="00492D2B"/>
    <w:rsid w:val="00493683"/>
    <w:rsid w:val="00493C2C"/>
    <w:rsid w:val="004940F9"/>
    <w:rsid w:val="00494101"/>
    <w:rsid w:val="00494133"/>
    <w:rsid w:val="00494142"/>
    <w:rsid w:val="00494851"/>
    <w:rsid w:val="0049498B"/>
    <w:rsid w:val="00494C42"/>
    <w:rsid w:val="00495207"/>
    <w:rsid w:val="00495403"/>
    <w:rsid w:val="004955EE"/>
    <w:rsid w:val="0049579B"/>
    <w:rsid w:val="004959E9"/>
    <w:rsid w:val="00495A9B"/>
    <w:rsid w:val="00495C4F"/>
    <w:rsid w:val="00495D52"/>
    <w:rsid w:val="00495F78"/>
    <w:rsid w:val="00495FF0"/>
    <w:rsid w:val="0049606C"/>
    <w:rsid w:val="0049614D"/>
    <w:rsid w:val="004961BD"/>
    <w:rsid w:val="004962AA"/>
    <w:rsid w:val="0049658E"/>
    <w:rsid w:val="004967B3"/>
    <w:rsid w:val="004967CF"/>
    <w:rsid w:val="004968F6"/>
    <w:rsid w:val="004969BC"/>
    <w:rsid w:val="00496A48"/>
    <w:rsid w:val="00496E4C"/>
    <w:rsid w:val="00496F17"/>
    <w:rsid w:val="00497565"/>
    <w:rsid w:val="004975CA"/>
    <w:rsid w:val="004976D0"/>
    <w:rsid w:val="0049784A"/>
    <w:rsid w:val="00497EA3"/>
    <w:rsid w:val="00497EBC"/>
    <w:rsid w:val="004A007F"/>
    <w:rsid w:val="004A01F3"/>
    <w:rsid w:val="004A02AD"/>
    <w:rsid w:val="004A0396"/>
    <w:rsid w:val="004A07AA"/>
    <w:rsid w:val="004A07BF"/>
    <w:rsid w:val="004A0A8F"/>
    <w:rsid w:val="004A0F20"/>
    <w:rsid w:val="004A10DA"/>
    <w:rsid w:val="004A1AF3"/>
    <w:rsid w:val="004A1BA8"/>
    <w:rsid w:val="004A1DD9"/>
    <w:rsid w:val="004A22B7"/>
    <w:rsid w:val="004A2423"/>
    <w:rsid w:val="004A2DA7"/>
    <w:rsid w:val="004A2EC2"/>
    <w:rsid w:val="004A2F74"/>
    <w:rsid w:val="004A2F82"/>
    <w:rsid w:val="004A30F8"/>
    <w:rsid w:val="004A332A"/>
    <w:rsid w:val="004A3B5F"/>
    <w:rsid w:val="004A3B7F"/>
    <w:rsid w:val="004A3C58"/>
    <w:rsid w:val="004A43D5"/>
    <w:rsid w:val="004A477A"/>
    <w:rsid w:val="004A4CDE"/>
    <w:rsid w:val="004A4D5C"/>
    <w:rsid w:val="004A5B94"/>
    <w:rsid w:val="004A5BC5"/>
    <w:rsid w:val="004A5F59"/>
    <w:rsid w:val="004A64CE"/>
    <w:rsid w:val="004A6E62"/>
    <w:rsid w:val="004A704E"/>
    <w:rsid w:val="004A73CC"/>
    <w:rsid w:val="004B033A"/>
    <w:rsid w:val="004B05CE"/>
    <w:rsid w:val="004B0862"/>
    <w:rsid w:val="004B0BBE"/>
    <w:rsid w:val="004B0DE4"/>
    <w:rsid w:val="004B1480"/>
    <w:rsid w:val="004B1541"/>
    <w:rsid w:val="004B1805"/>
    <w:rsid w:val="004B1B20"/>
    <w:rsid w:val="004B1DC7"/>
    <w:rsid w:val="004B1E34"/>
    <w:rsid w:val="004B21B6"/>
    <w:rsid w:val="004B2507"/>
    <w:rsid w:val="004B288A"/>
    <w:rsid w:val="004B2CDD"/>
    <w:rsid w:val="004B2E21"/>
    <w:rsid w:val="004B3125"/>
    <w:rsid w:val="004B3312"/>
    <w:rsid w:val="004B3318"/>
    <w:rsid w:val="004B337C"/>
    <w:rsid w:val="004B3906"/>
    <w:rsid w:val="004B398C"/>
    <w:rsid w:val="004B4127"/>
    <w:rsid w:val="004B42C9"/>
    <w:rsid w:val="004B4BB4"/>
    <w:rsid w:val="004B4FA7"/>
    <w:rsid w:val="004B516F"/>
    <w:rsid w:val="004B51AE"/>
    <w:rsid w:val="004B56A5"/>
    <w:rsid w:val="004B5A92"/>
    <w:rsid w:val="004B5C12"/>
    <w:rsid w:val="004B63AA"/>
    <w:rsid w:val="004B648F"/>
    <w:rsid w:val="004B6608"/>
    <w:rsid w:val="004B669C"/>
    <w:rsid w:val="004B6785"/>
    <w:rsid w:val="004B68B8"/>
    <w:rsid w:val="004B6C18"/>
    <w:rsid w:val="004B6DFE"/>
    <w:rsid w:val="004B6F4F"/>
    <w:rsid w:val="004B7376"/>
    <w:rsid w:val="004B76E4"/>
    <w:rsid w:val="004B78C7"/>
    <w:rsid w:val="004B7A02"/>
    <w:rsid w:val="004B7DE2"/>
    <w:rsid w:val="004B7FE1"/>
    <w:rsid w:val="004C0117"/>
    <w:rsid w:val="004C027B"/>
    <w:rsid w:val="004C09C1"/>
    <w:rsid w:val="004C0A60"/>
    <w:rsid w:val="004C0BCA"/>
    <w:rsid w:val="004C0CAE"/>
    <w:rsid w:val="004C16D6"/>
    <w:rsid w:val="004C177E"/>
    <w:rsid w:val="004C1992"/>
    <w:rsid w:val="004C1A12"/>
    <w:rsid w:val="004C1D95"/>
    <w:rsid w:val="004C1DC1"/>
    <w:rsid w:val="004C1E7C"/>
    <w:rsid w:val="004C1FB7"/>
    <w:rsid w:val="004C20AC"/>
    <w:rsid w:val="004C22C4"/>
    <w:rsid w:val="004C22FA"/>
    <w:rsid w:val="004C25CF"/>
    <w:rsid w:val="004C26F1"/>
    <w:rsid w:val="004C2712"/>
    <w:rsid w:val="004C301D"/>
    <w:rsid w:val="004C3062"/>
    <w:rsid w:val="004C30D0"/>
    <w:rsid w:val="004C3457"/>
    <w:rsid w:val="004C3514"/>
    <w:rsid w:val="004C389C"/>
    <w:rsid w:val="004C3B60"/>
    <w:rsid w:val="004C3F1D"/>
    <w:rsid w:val="004C40C4"/>
    <w:rsid w:val="004C4104"/>
    <w:rsid w:val="004C42C7"/>
    <w:rsid w:val="004C47DF"/>
    <w:rsid w:val="004C4995"/>
    <w:rsid w:val="004C4CB6"/>
    <w:rsid w:val="004C5E49"/>
    <w:rsid w:val="004C5E51"/>
    <w:rsid w:val="004C615F"/>
    <w:rsid w:val="004C6176"/>
    <w:rsid w:val="004C697B"/>
    <w:rsid w:val="004C6C31"/>
    <w:rsid w:val="004C6EAE"/>
    <w:rsid w:val="004C702C"/>
    <w:rsid w:val="004C72BC"/>
    <w:rsid w:val="004C7338"/>
    <w:rsid w:val="004C7588"/>
    <w:rsid w:val="004C772D"/>
    <w:rsid w:val="004C779D"/>
    <w:rsid w:val="004C7F8D"/>
    <w:rsid w:val="004D0562"/>
    <w:rsid w:val="004D084E"/>
    <w:rsid w:val="004D0A75"/>
    <w:rsid w:val="004D109B"/>
    <w:rsid w:val="004D110B"/>
    <w:rsid w:val="004D1896"/>
    <w:rsid w:val="004D1E3D"/>
    <w:rsid w:val="004D1E8F"/>
    <w:rsid w:val="004D253B"/>
    <w:rsid w:val="004D2831"/>
    <w:rsid w:val="004D2F8D"/>
    <w:rsid w:val="004D3090"/>
    <w:rsid w:val="004D336B"/>
    <w:rsid w:val="004D33DB"/>
    <w:rsid w:val="004D3416"/>
    <w:rsid w:val="004D36E8"/>
    <w:rsid w:val="004D373F"/>
    <w:rsid w:val="004D3B83"/>
    <w:rsid w:val="004D463F"/>
    <w:rsid w:val="004D4878"/>
    <w:rsid w:val="004D4A73"/>
    <w:rsid w:val="004D514D"/>
    <w:rsid w:val="004D52D6"/>
    <w:rsid w:val="004D557A"/>
    <w:rsid w:val="004D5B46"/>
    <w:rsid w:val="004D6771"/>
    <w:rsid w:val="004D6A16"/>
    <w:rsid w:val="004D6AF7"/>
    <w:rsid w:val="004D6E2D"/>
    <w:rsid w:val="004D71B1"/>
    <w:rsid w:val="004D78D6"/>
    <w:rsid w:val="004D7900"/>
    <w:rsid w:val="004D7B1B"/>
    <w:rsid w:val="004E0313"/>
    <w:rsid w:val="004E06CC"/>
    <w:rsid w:val="004E0732"/>
    <w:rsid w:val="004E0EE5"/>
    <w:rsid w:val="004E0F44"/>
    <w:rsid w:val="004E0FEB"/>
    <w:rsid w:val="004E1CE4"/>
    <w:rsid w:val="004E1DE4"/>
    <w:rsid w:val="004E20B8"/>
    <w:rsid w:val="004E2674"/>
    <w:rsid w:val="004E2861"/>
    <w:rsid w:val="004E2ECF"/>
    <w:rsid w:val="004E34DF"/>
    <w:rsid w:val="004E35CE"/>
    <w:rsid w:val="004E3672"/>
    <w:rsid w:val="004E3BC1"/>
    <w:rsid w:val="004E4098"/>
    <w:rsid w:val="004E4582"/>
    <w:rsid w:val="004E4B6F"/>
    <w:rsid w:val="004E4C67"/>
    <w:rsid w:val="004E4CA3"/>
    <w:rsid w:val="004E5125"/>
    <w:rsid w:val="004E512C"/>
    <w:rsid w:val="004E5219"/>
    <w:rsid w:val="004E55C4"/>
    <w:rsid w:val="004E5795"/>
    <w:rsid w:val="004E586B"/>
    <w:rsid w:val="004E60E0"/>
    <w:rsid w:val="004E6247"/>
    <w:rsid w:val="004E6658"/>
    <w:rsid w:val="004E6B1D"/>
    <w:rsid w:val="004E6F13"/>
    <w:rsid w:val="004E70F0"/>
    <w:rsid w:val="004E7108"/>
    <w:rsid w:val="004E7186"/>
    <w:rsid w:val="004E74D2"/>
    <w:rsid w:val="004E77BC"/>
    <w:rsid w:val="004E7B29"/>
    <w:rsid w:val="004E7D0D"/>
    <w:rsid w:val="004E7E2B"/>
    <w:rsid w:val="004F02E1"/>
    <w:rsid w:val="004F06A3"/>
    <w:rsid w:val="004F079B"/>
    <w:rsid w:val="004F096C"/>
    <w:rsid w:val="004F0C86"/>
    <w:rsid w:val="004F0F9E"/>
    <w:rsid w:val="004F0FD1"/>
    <w:rsid w:val="004F1799"/>
    <w:rsid w:val="004F1A10"/>
    <w:rsid w:val="004F1CC4"/>
    <w:rsid w:val="004F1DD3"/>
    <w:rsid w:val="004F1E89"/>
    <w:rsid w:val="004F2291"/>
    <w:rsid w:val="004F24B3"/>
    <w:rsid w:val="004F270F"/>
    <w:rsid w:val="004F275E"/>
    <w:rsid w:val="004F2C01"/>
    <w:rsid w:val="004F322B"/>
    <w:rsid w:val="004F35B6"/>
    <w:rsid w:val="004F37DF"/>
    <w:rsid w:val="004F39DA"/>
    <w:rsid w:val="004F4044"/>
    <w:rsid w:val="004F4373"/>
    <w:rsid w:val="004F4467"/>
    <w:rsid w:val="004F4A45"/>
    <w:rsid w:val="004F4C20"/>
    <w:rsid w:val="004F4C95"/>
    <w:rsid w:val="004F50A2"/>
    <w:rsid w:val="004F5196"/>
    <w:rsid w:val="004F5975"/>
    <w:rsid w:val="004F5B14"/>
    <w:rsid w:val="004F5D04"/>
    <w:rsid w:val="004F5D2A"/>
    <w:rsid w:val="004F5F27"/>
    <w:rsid w:val="004F5FFE"/>
    <w:rsid w:val="004F6486"/>
    <w:rsid w:val="004F652E"/>
    <w:rsid w:val="004F69CB"/>
    <w:rsid w:val="004F6D2A"/>
    <w:rsid w:val="004F6E81"/>
    <w:rsid w:val="004F769F"/>
    <w:rsid w:val="004F7972"/>
    <w:rsid w:val="00500249"/>
    <w:rsid w:val="0050038B"/>
    <w:rsid w:val="00500682"/>
    <w:rsid w:val="00501ABC"/>
    <w:rsid w:val="00501BE2"/>
    <w:rsid w:val="00501F85"/>
    <w:rsid w:val="005020EF"/>
    <w:rsid w:val="00502521"/>
    <w:rsid w:val="005025A2"/>
    <w:rsid w:val="005026D7"/>
    <w:rsid w:val="005029F5"/>
    <w:rsid w:val="00502E09"/>
    <w:rsid w:val="0050328C"/>
    <w:rsid w:val="00503C6D"/>
    <w:rsid w:val="00503E97"/>
    <w:rsid w:val="00504119"/>
    <w:rsid w:val="0050433A"/>
    <w:rsid w:val="00504CB9"/>
    <w:rsid w:val="00504F08"/>
    <w:rsid w:val="00504F4A"/>
    <w:rsid w:val="0050521B"/>
    <w:rsid w:val="005054A7"/>
    <w:rsid w:val="005058F7"/>
    <w:rsid w:val="00505948"/>
    <w:rsid w:val="00505F9C"/>
    <w:rsid w:val="00506153"/>
    <w:rsid w:val="00506204"/>
    <w:rsid w:val="00506776"/>
    <w:rsid w:val="005067C2"/>
    <w:rsid w:val="00506ACF"/>
    <w:rsid w:val="00506E21"/>
    <w:rsid w:val="00507809"/>
    <w:rsid w:val="00507A03"/>
    <w:rsid w:val="00507E54"/>
    <w:rsid w:val="005103FF"/>
    <w:rsid w:val="005107A6"/>
    <w:rsid w:val="00510B1D"/>
    <w:rsid w:val="00510B3B"/>
    <w:rsid w:val="005110BB"/>
    <w:rsid w:val="005116A0"/>
    <w:rsid w:val="00511763"/>
    <w:rsid w:val="005117C1"/>
    <w:rsid w:val="005121B5"/>
    <w:rsid w:val="005124BF"/>
    <w:rsid w:val="005129A2"/>
    <w:rsid w:val="00512B3C"/>
    <w:rsid w:val="00512CBF"/>
    <w:rsid w:val="00512F2E"/>
    <w:rsid w:val="00512F56"/>
    <w:rsid w:val="00513418"/>
    <w:rsid w:val="0051395A"/>
    <w:rsid w:val="005141AC"/>
    <w:rsid w:val="00514D64"/>
    <w:rsid w:val="005150FE"/>
    <w:rsid w:val="00515146"/>
    <w:rsid w:val="0051537C"/>
    <w:rsid w:val="005156A9"/>
    <w:rsid w:val="00515935"/>
    <w:rsid w:val="00516DCD"/>
    <w:rsid w:val="00516E5C"/>
    <w:rsid w:val="0051701A"/>
    <w:rsid w:val="005175E7"/>
    <w:rsid w:val="00517F7F"/>
    <w:rsid w:val="00517F8B"/>
    <w:rsid w:val="005201C6"/>
    <w:rsid w:val="00520310"/>
    <w:rsid w:val="00520483"/>
    <w:rsid w:val="005204E2"/>
    <w:rsid w:val="005206E9"/>
    <w:rsid w:val="00520A8D"/>
    <w:rsid w:val="00520BBB"/>
    <w:rsid w:val="00520FD3"/>
    <w:rsid w:val="00521024"/>
    <w:rsid w:val="00521264"/>
    <w:rsid w:val="005212DF"/>
    <w:rsid w:val="005213E1"/>
    <w:rsid w:val="00521BF1"/>
    <w:rsid w:val="00521C4E"/>
    <w:rsid w:val="005221E7"/>
    <w:rsid w:val="0052222A"/>
    <w:rsid w:val="00522235"/>
    <w:rsid w:val="00522497"/>
    <w:rsid w:val="00522B4C"/>
    <w:rsid w:val="00523096"/>
    <w:rsid w:val="005234FB"/>
    <w:rsid w:val="005236FE"/>
    <w:rsid w:val="005239B4"/>
    <w:rsid w:val="005239FD"/>
    <w:rsid w:val="00523CA0"/>
    <w:rsid w:val="00523CCE"/>
    <w:rsid w:val="005240C9"/>
    <w:rsid w:val="005245AC"/>
    <w:rsid w:val="00524A49"/>
    <w:rsid w:val="00524A6B"/>
    <w:rsid w:val="00524B41"/>
    <w:rsid w:val="00525207"/>
    <w:rsid w:val="0052536C"/>
    <w:rsid w:val="0052553F"/>
    <w:rsid w:val="00525634"/>
    <w:rsid w:val="005256DE"/>
    <w:rsid w:val="00525CC4"/>
    <w:rsid w:val="00525DE3"/>
    <w:rsid w:val="005260F0"/>
    <w:rsid w:val="005261D1"/>
    <w:rsid w:val="005266C8"/>
    <w:rsid w:val="0052671D"/>
    <w:rsid w:val="0052681B"/>
    <w:rsid w:val="00526D05"/>
    <w:rsid w:val="00526EC3"/>
    <w:rsid w:val="005270F7"/>
    <w:rsid w:val="00527110"/>
    <w:rsid w:val="005273F4"/>
    <w:rsid w:val="005273FF"/>
    <w:rsid w:val="005276A9"/>
    <w:rsid w:val="00527751"/>
    <w:rsid w:val="00527BF2"/>
    <w:rsid w:val="005300A7"/>
    <w:rsid w:val="0053078B"/>
    <w:rsid w:val="005308A4"/>
    <w:rsid w:val="0053105A"/>
    <w:rsid w:val="005313DB"/>
    <w:rsid w:val="0053164F"/>
    <w:rsid w:val="00531763"/>
    <w:rsid w:val="00531819"/>
    <w:rsid w:val="0053207A"/>
    <w:rsid w:val="00532158"/>
    <w:rsid w:val="005321A8"/>
    <w:rsid w:val="0053221E"/>
    <w:rsid w:val="0053283B"/>
    <w:rsid w:val="00532B9C"/>
    <w:rsid w:val="00533368"/>
    <w:rsid w:val="0053337E"/>
    <w:rsid w:val="005335C5"/>
    <w:rsid w:val="0053379C"/>
    <w:rsid w:val="005338E8"/>
    <w:rsid w:val="00533B0E"/>
    <w:rsid w:val="00533DC4"/>
    <w:rsid w:val="00533EE7"/>
    <w:rsid w:val="00533FF5"/>
    <w:rsid w:val="005340BF"/>
    <w:rsid w:val="00534106"/>
    <w:rsid w:val="00534612"/>
    <w:rsid w:val="005346B9"/>
    <w:rsid w:val="005350B7"/>
    <w:rsid w:val="00535364"/>
    <w:rsid w:val="0053645F"/>
    <w:rsid w:val="005364C8"/>
    <w:rsid w:val="0053667F"/>
    <w:rsid w:val="00536FF1"/>
    <w:rsid w:val="00537527"/>
    <w:rsid w:val="0053755E"/>
    <w:rsid w:val="005375F2"/>
    <w:rsid w:val="005376B3"/>
    <w:rsid w:val="00537B83"/>
    <w:rsid w:val="00537D45"/>
    <w:rsid w:val="00537E24"/>
    <w:rsid w:val="00537EC1"/>
    <w:rsid w:val="00540347"/>
    <w:rsid w:val="00540505"/>
    <w:rsid w:val="00540650"/>
    <w:rsid w:val="00540CE8"/>
    <w:rsid w:val="00540F70"/>
    <w:rsid w:val="005412EE"/>
    <w:rsid w:val="00541E88"/>
    <w:rsid w:val="005422D8"/>
    <w:rsid w:val="00542448"/>
    <w:rsid w:val="005425C9"/>
    <w:rsid w:val="005426D0"/>
    <w:rsid w:val="00542750"/>
    <w:rsid w:val="00542B06"/>
    <w:rsid w:val="00542EF8"/>
    <w:rsid w:val="005432DF"/>
    <w:rsid w:val="0054357E"/>
    <w:rsid w:val="005439EA"/>
    <w:rsid w:val="00543CE1"/>
    <w:rsid w:val="00543EC3"/>
    <w:rsid w:val="00543EE4"/>
    <w:rsid w:val="0054425F"/>
    <w:rsid w:val="005444C6"/>
    <w:rsid w:val="005444CE"/>
    <w:rsid w:val="00544973"/>
    <w:rsid w:val="00544BB2"/>
    <w:rsid w:val="00544C7B"/>
    <w:rsid w:val="00544CB9"/>
    <w:rsid w:val="00544D2D"/>
    <w:rsid w:val="00544DF0"/>
    <w:rsid w:val="005451F1"/>
    <w:rsid w:val="005453D3"/>
    <w:rsid w:val="0054552C"/>
    <w:rsid w:val="0054552F"/>
    <w:rsid w:val="00545D0E"/>
    <w:rsid w:val="00545D9B"/>
    <w:rsid w:val="00546062"/>
    <w:rsid w:val="00546301"/>
    <w:rsid w:val="00546616"/>
    <w:rsid w:val="00547760"/>
    <w:rsid w:val="00547909"/>
    <w:rsid w:val="00547F24"/>
    <w:rsid w:val="00547F88"/>
    <w:rsid w:val="00550072"/>
    <w:rsid w:val="005502F6"/>
    <w:rsid w:val="00550500"/>
    <w:rsid w:val="00550B4B"/>
    <w:rsid w:val="00550BBB"/>
    <w:rsid w:val="00550D49"/>
    <w:rsid w:val="005516AF"/>
    <w:rsid w:val="0055180C"/>
    <w:rsid w:val="00551E33"/>
    <w:rsid w:val="005520AF"/>
    <w:rsid w:val="005527A7"/>
    <w:rsid w:val="0055295A"/>
    <w:rsid w:val="00552DE4"/>
    <w:rsid w:val="00552E8C"/>
    <w:rsid w:val="0055300E"/>
    <w:rsid w:val="005530A1"/>
    <w:rsid w:val="0055348D"/>
    <w:rsid w:val="00553C02"/>
    <w:rsid w:val="0055426A"/>
    <w:rsid w:val="005543E4"/>
    <w:rsid w:val="00555114"/>
    <w:rsid w:val="00555565"/>
    <w:rsid w:val="0055566C"/>
    <w:rsid w:val="005557AD"/>
    <w:rsid w:val="00555972"/>
    <w:rsid w:val="00555A3A"/>
    <w:rsid w:val="00555B54"/>
    <w:rsid w:val="00555EB4"/>
    <w:rsid w:val="005561EA"/>
    <w:rsid w:val="0055625E"/>
    <w:rsid w:val="00556612"/>
    <w:rsid w:val="005566C8"/>
    <w:rsid w:val="00556758"/>
    <w:rsid w:val="00556827"/>
    <w:rsid w:val="00556A63"/>
    <w:rsid w:val="00556A9A"/>
    <w:rsid w:val="00556C14"/>
    <w:rsid w:val="00556EDA"/>
    <w:rsid w:val="00557DDA"/>
    <w:rsid w:val="00557F25"/>
    <w:rsid w:val="00560252"/>
    <w:rsid w:val="005604E1"/>
    <w:rsid w:val="00560897"/>
    <w:rsid w:val="00560D21"/>
    <w:rsid w:val="0056112C"/>
    <w:rsid w:val="005613D0"/>
    <w:rsid w:val="00561A55"/>
    <w:rsid w:val="00561B00"/>
    <w:rsid w:val="00561B38"/>
    <w:rsid w:val="00561B3A"/>
    <w:rsid w:val="00561BE3"/>
    <w:rsid w:val="00561BFA"/>
    <w:rsid w:val="00561D4A"/>
    <w:rsid w:val="00561E20"/>
    <w:rsid w:val="00561F99"/>
    <w:rsid w:val="00561FCD"/>
    <w:rsid w:val="0056264A"/>
    <w:rsid w:val="0056295C"/>
    <w:rsid w:val="005629B7"/>
    <w:rsid w:val="00562CE7"/>
    <w:rsid w:val="00562E1D"/>
    <w:rsid w:val="00562FA9"/>
    <w:rsid w:val="0056309C"/>
    <w:rsid w:val="00563130"/>
    <w:rsid w:val="005631AD"/>
    <w:rsid w:val="005632B5"/>
    <w:rsid w:val="00563796"/>
    <w:rsid w:val="00563821"/>
    <w:rsid w:val="005638C4"/>
    <w:rsid w:val="005638CD"/>
    <w:rsid w:val="00563BB6"/>
    <w:rsid w:val="00563BCF"/>
    <w:rsid w:val="005640F5"/>
    <w:rsid w:val="0056415C"/>
    <w:rsid w:val="005641CA"/>
    <w:rsid w:val="00564545"/>
    <w:rsid w:val="00564596"/>
    <w:rsid w:val="005648DA"/>
    <w:rsid w:val="005649BB"/>
    <w:rsid w:val="005649BF"/>
    <w:rsid w:val="005650F7"/>
    <w:rsid w:val="005653D9"/>
    <w:rsid w:val="005657A7"/>
    <w:rsid w:val="00565828"/>
    <w:rsid w:val="00565B5E"/>
    <w:rsid w:val="00566095"/>
    <w:rsid w:val="005660AE"/>
    <w:rsid w:val="005660C4"/>
    <w:rsid w:val="0056615E"/>
    <w:rsid w:val="005661B6"/>
    <w:rsid w:val="005662BA"/>
    <w:rsid w:val="00566330"/>
    <w:rsid w:val="005665E3"/>
    <w:rsid w:val="00566733"/>
    <w:rsid w:val="00566807"/>
    <w:rsid w:val="00566A83"/>
    <w:rsid w:val="005670AA"/>
    <w:rsid w:val="005670E2"/>
    <w:rsid w:val="00567344"/>
    <w:rsid w:val="00567678"/>
    <w:rsid w:val="0056768F"/>
    <w:rsid w:val="005676A9"/>
    <w:rsid w:val="005678C9"/>
    <w:rsid w:val="00567D39"/>
    <w:rsid w:val="0057069C"/>
    <w:rsid w:val="00570E0D"/>
    <w:rsid w:val="00571174"/>
    <w:rsid w:val="0057130A"/>
    <w:rsid w:val="005713CF"/>
    <w:rsid w:val="00571687"/>
    <w:rsid w:val="00571B47"/>
    <w:rsid w:val="00571B8F"/>
    <w:rsid w:val="005721CB"/>
    <w:rsid w:val="00572358"/>
    <w:rsid w:val="00572715"/>
    <w:rsid w:val="00572D28"/>
    <w:rsid w:val="00573108"/>
    <w:rsid w:val="0057310B"/>
    <w:rsid w:val="005735BC"/>
    <w:rsid w:val="005735E3"/>
    <w:rsid w:val="00573BCC"/>
    <w:rsid w:val="00574C08"/>
    <w:rsid w:val="00574C63"/>
    <w:rsid w:val="00574DF4"/>
    <w:rsid w:val="00574E5D"/>
    <w:rsid w:val="0057523B"/>
    <w:rsid w:val="0057547E"/>
    <w:rsid w:val="0057581D"/>
    <w:rsid w:val="00575E49"/>
    <w:rsid w:val="0057601D"/>
    <w:rsid w:val="005761D2"/>
    <w:rsid w:val="00576791"/>
    <w:rsid w:val="00576A0B"/>
    <w:rsid w:val="00576E6E"/>
    <w:rsid w:val="00576F40"/>
    <w:rsid w:val="00577861"/>
    <w:rsid w:val="00577D91"/>
    <w:rsid w:val="005801F7"/>
    <w:rsid w:val="00580207"/>
    <w:rsid w:val="00580935"/>
    <w:rsid w:val="00580B0E"/>
    <w:rsid w:val="00580C36"/>
    <w:rsid w:val="00580E41"/>
    <w:rsid w:val="005811BD"/>
    <w:rsid w:val="0058148D"/>
    <w:rsid w:val="00581495"/>
    <w:rsid w:val="005814F3"/>
    <w:rsid w:val="0058164C"/>
    <w:rsid w:val="005818E1"/>
    <w:rsid w:val="0058204D"/>
    <w:rsid w:val="0058216E"/>
    <w:rsid w:val="00582208"/>
    <w:rsid w:val="00582BCB"/>
    <w:rsid w:val="00582CBD"/>
    <w:rsid w:val="005831D7"/>
    <w:rsid w:val="00583252"/>
    <w:rsid w:val="00583887"/>
    <w:rsid w:val="005838BB"/>
    <w:rsid w:val="0058391A"/>
    <w:rsid w:val="00583F7A"/>
    <w:rsid w:val="0058440F"/>
    <w:rsid w:val="00584D3E"/>
    <w:rsid w:val="005855A0"/>
    <w:rsid w:val="005859E0"/>
    <w:rsid w:val="00585A4C"/>
    <w:rsid w:val="00586330"/>
    <w:rsid w:val="00586523"/>
    <w:rsid w:val="005865D2"/>
    <w:rsid w:val="00586954"/>
    <w:rsid w:val="00586CDF"/>
    <w:rsid w:val="0058707B"/>
    <w:rsid w:val="005875AA"/>
    <w:rsid w:val="005878D6"/>
    <w:rsid w:val="00587BF2"/>
    <w:rsid w:val="00587DAF"/>
    <w:rsid w:val="005905B6"/>
    <w:rsid w:val="00590AAE"/>
    <w:rsid w:val="00590BD3"/>
    <w:rsid w:val="00591107"/>
    <w:rsid w:val="00591267"/>
    <w:rsid w:val="005915EA"/>
    <w:rsid w:val="005918E1"/>
    <w:rsid w:val="005919ED"/>
    <w:rsid w:val="00591EB1"/>
    <w:rsid w:val="005920D4"/>
    <w:rsid w:val="00592992"/>
    <w:rsid w:val="005936AB"/>
    <w:rsid w:val="00593C10"/>
    <w:rsid w:val="00593C4E"/>
    <w:rsid w:val="005941D1"/>
    <w:rsid w:val="005947EF"/>
    <w:rsid w:val="00594ADD"/>
    <w:rsid w:val="0059544E"/>
    <w:rsid w:val="00595564"/>
    <w:rsid w:val="005958E8"/>
    <w:rsid w:val="00595C8F"/>
    <w:rsid w:val="00595EEF"/>
    <w:rsid w:val="0059615F"/>
    <w:rsid w:val="00596246"/>
    <w:rsid w:val="0059729B"/>
    <w:rsid w:val="00597457"/>
    <w:rsid w:val="00597899"/>
    <w:rsid w:val="005A0037"/>
    <w:rsid w:val="005A0836"/>
    <w:rsid w:val="005A0971"/>
    <w:rsid w:val="005A0FA5"/>
    <w:rsid w:val="005A1139"/>
    <w:rsid w:val="005A1255"/>
    <w:rsid w:val="005A1356"/>
    <w:rsid w:val="005A1389"/>
    <w:rsid w:val="005A13E5"/>
    <w:rsid w:val="005A155C"/>
    <w:rsid w:val="005A165C"/>
    <w:rsid w:val="005A16D0"/>
    <w:rsid w:val="005A186E"/>
    <w:rsid w:val="005A1914"/>
    <w:rsid w:val="005A1C14"/>
    <w:rsid w:val="005A22F1"/>
    <w:rsid w:val="005A23DB"/>
    <w:rsid w:val="005A2596"/>
    <w:rsid w:val="005A2AFA"/>
    <w:rsid w:val="005A36E5"/>
    <w:rsid w:val="005A3DC1"/>
    <w:rsid w:val="005A4253"/>
    <w:rsid w:val="005A43FB"/>
    <w:rsid w:val="005A4690"/>
    <w:rsid w:val="005A4783"/>
    <w:rsid w:val="005A4929"/>
    <w:rsid w:val="005A4935"/>
    <w:rsid w:val="005A4973"/>
    <w:rsid w:val="005A4D14"/>
    <w:rsid w:val="005A5004"/>
    <w:rsid w:val="005A575A"/>
    <w:rsid w:val="005A5DF9"/>
    <w:rsid w:val="005A6963"/>
    <w:rsid w:val="005A7055"/>
    <w:rsid w:val="005A7064"/>
    <w:rsid w:val="005A766C"/>
    <w:rsid w:val="005A7A64"/>
    <w:rsid w:val="005A7BC6"/>
    <w:rsid w:val="005A7D7F"/>
    <w:rsid w:val="005B060F"/>
    <w:rsid w:val="005B0AC5"/>
    <w:rsid w:val="005B15E3"/>
    <w:rsid w:val="005B16A6"/>
    <w:rsid w:val="005B18BA"/>
    <w:rsid w:val="005B1AF9"/>
    <w:rsid w:val="005B1C6C"/>
    <w:rsid w:val="005B1CF4"/>
    <w:rsid w:val="005B1FD2"/>
    <w:rsid w:val="005B21DE"/>
    <w:rsid w:val="005B2242"/>
    <w:rsid w:val="005B2816"/>
    <w:rsid w:val="005B2C1F"/>
    <w:rsid w:val="005B31CC"/>
    <w:rsid w:val="005B3241"/>
    <w:rsid w:val="005B3940"/>
    <w:rsid w:val="005B3B5B"/>
    <w:rsid w:val="005B3DCC"/>
    <w:rsid w:val="005B4061"/>
    <w:rsid w:val="005B43FD"/>
    <w:rsid w:val="005B4AA6"/>
    <w:rsid w:val="005B4C9A"/>
    <w:rsid w:val="005B5988"/>
    <w:rsid w:val="005B5B41"/>
    <w:rsid w:val="005B5C98"/>
    <w:rsid w:val="005B62E2"/>
    <w:rsid w:val="005B6302"/>
    <w:rsid w:val="005B63AE"/>
    <w:rsid w:val="005B6407"/>
    <w:rsid w:val="005B6942"/>
    <w:rsid w:val="005B6E4A"/>
    <w:rsid w:val="005B71AB"/>
    <w:rsid w:val="005B73BE"/>
    <w:rsid w:val="005B7845"/>
    <w:rsid w:val="005B7A01"/>
    <w:rsid w:val="005B7A49"/>
    <w:rsid w:val="005B7B7D"/>
    <w:rsid w:val="005B7C05"/>
    <w:rsid w:val="005C017F"/>
    <w:rsid w:val="005C0218"/>
    <w:rsid w:val="005C074C"/>
    <w:rsid w:val="005C0A99"/>
    <w:rsid w:val="005C0BFB"/>
    <w:rsid w:val="005C0D65"/>
    <w:rsid w:val="005C14F1"/>
    <w:rsid w:val="005C17A5"/>
    <w:rsid w:val="005C17B5"/>
    <w:rsid w:val="005C1810"/>
    <w:rsid w:val="005C1A45"/>
    <w:rsid w:val="005C2073"/>
    <w:rsid w:val="005C21DA"/>
    <w:rsid w:val="005C25F5"/>
    <w:rsid w:val="005C2BA2"/>
    <w:rsid w:val="005C30A3"/>
    <w:rsid w:val="005C34CF"/>
    <w:rsid w:val="005C3614"/>
    <w:rsid w:val="005C3901"/>
    <w:rsid w:val="005C3C8B"/>
    <w:rsid w:val="005C4058"/>
    <w:rsid w:val="005C441D"/>
    <w:rsid w:val="005C47A4"/>
    <w:rsid w:val="005C515E"/>
    <w:rsid w:val="005C51FA"/>
    <w:rsid w:val="005C5248"/>
    <w:rsid w:val="005C5867"/>
    <w:rsid w:val="005C58A0"/>
    <w:rsid w:val="005C59F4"/>
    <w:rsid w:val="005C59FF"/>
    <w:rsid w:val="005C5B14"/>
    <w:rsid w:val="005C5DFB"/>
    <w:rsid w:val="005C61B9"/>
    <w:rsid w:val="005C628C"/>
    <w:rsid w:val="005C6AD5"/>
    <w:rsid w:val="005C6BF9"/>
    <w:rsid w:val="005C6E39"/>
    <w:rsid w:val="005C6FB2"/>
    <w:rsid w:val="005C716F"/>
    <w:rsid w:val="005C7D85"/>
    <w:rsid w:val="005C7F45"/>
    <w:rsid w:val="005C7FB4"/>
    <w:rsid w:val="005D0569"/>
    <w:rsid w:val="005D0870"/>
    <w:rsid w:val="005D096B"/>
    <w:rsid w:val="005D0ED3"/>
    <w:rsid w:val="005D0F04"/>
    <w:rsid w:val="005D11E6"/>
    <w:rsid w:val="005D15F3"/>
    <w:rsid w:val="005D1750"/>
    <w:rsid w:val="005D18F3"/>
    <w:rsid w:val="005D1AAB"/>
    <w:rsid w:val="005D1B4E"/>
    <w:rsid w:val="005D1E7F"/>
    <w:rsid w:val="005D1F98"/>
    <w:rsid w:val="005D2005"/>
    <w:rsid w:val="005D2F5E"/>
    <w:rsid w:val="005D34A9"/>
    <w:rsid w:val="005D3AA0"/>
    <w:rsid w:val="005D4160"/>
    <w:rsid w:val="005D4189"/>
    <w:rsid w:val="005D439D"/>
    <w:rsid w:val="005D44AA"/>
    <w:rsid w:val="005D45AF"/>
    <w:rsid w:val="005D49CA"/>
    <w:rsid w:val="005D4CA9"/>
    <w:rsid w:val="005D51CB"/>
    <w:rsid w:val="005D52D3"/>
    <w:rsid w:val="005D55B1"/>
    <w:rsid w:val="005D5D89"/>
    <w:rsid w:val="005D612D"/>
    <w:rsid w:val="005D6131"/>
    <w:rsid w:val="005D6288"/>
    <w:rsid w:val="005D64F8"/>
    <w:rsid w:val="005D6583"/>
    <w:rsid w:val="005D68A4"/>
    <w:rsid w:val="005D6911"/>
    <w:rsid w:val="005D699F"/>
    <w:rsid w:val="005D7211"/>
    <w:rsid w:val="005D724D"/>
    <w:rsid w:val="005D7486"/>
    <w:rsid w:val="005D76A1"/>
    <w:rsid w:val="005E0165"/>
    <w:rsid w:val="005E01C7"/>
    <w:rsid w:val="005E01F5"/>
    <w:rsid w:val="005E034A"/>
    <w:rsid w:val="005E076B"/>
    <w:rsid w:val="005E07EE"/>
    <w:rsid w:val="005E099A"/>
    <w:rsid w:val="005E0AE2"/>
    <w:rsid w:val="005E0FE2"/>
    <w:rsid w:val="005E12F8"/>
    <w:rsid w:val="005E1453"/>
    <w:rsid w:val="005E168B"/>
    <w:rsid w:val="005E2148"/>
    <w:rsid w:val="005E2928"/>
    <w:rsid w:val="005E345D"/>
    <w:rsid w:val="005E3803"/>
    <w:rsid w:val="005E3FDC"/>
    <w:rsid w:val="005E4174"/>
    <w:rsid w:val="005E4740"/>
    <w:rsid w:val="005E4B68"/>
    <w:rsid w:val="005E4D03"/>
    <w:rsid w:val="005E4FE9"/>
    <w:rsid w:val="005E58AA"/>
    <w:rsid w:val="005E5DFB"/>
    <w:rsid w:val="005E6224"/>
    <w:rsid w:val="005E63AA"/>
    <w:rsid w:val="005E66C4"/>
    <w:rsid w:val="005E67C7"/>
    <w:rsid w:val="005E69CA"/>
    <w:rsid w:val="005E6A0A"/>
    <w:rsid w:val="005E6ACA"/>
    <w:rsid w:val="005E6C28"/>
    <w:rsid w:val="005E70CA"/>
    <w:rsid w:val="005E7816"/>
    <w:rsid w:val="005E7AA3"/>
    <w:rsid w:val="005F00DB"/>
    <w:rsid w:val="005F0252"/>
    <w:rsid w:val="005F02E7"/>
    <w:rsid w:val="005F05B2"/>
    <w:rsid w:val="005F0A49"/>
    <w:rsid w:val="005F0A81"/>
    <w:rsid w:val="005F0B5E"/>
    <w:rsid w:val="005F0BC2"/>
    <w:rsid w:val="005F0CEA"/>
    <w:rsid w:val="005F0F5D"/>
    <w:rsid w:val="005F12C3"/>
    <w:rsid w:val="005F18B0"/>
    <w:rsid w:val="005F19A1"/>
    <w:rsid w:val="005F1AAF"/>
    <w:rsid w:val="005F1C48"/>
    <w:rsid w:val="005F1D81"/>
    <w:rsid w:val="005F1FF8"/>
    <w:rsid w:val="005F2026"/>
    <w:rsid w:val="005F24C7"/>
    <w:rsid w:val="005F2559"/>
    <w:rsid w:val="005F27EE"/>
    <w:rsid w:val="005F29A1"/>
    <w:rsid w:val="005F3495"/>
    <w:rsid w:val="005F36D3"/>
    <w:rsid w:val="005F36FC"/>
    <w:rsid w:val="005F374C"/>
    <w:rsid w:val="005F38F6"/>
    <w:rsid w:val="005F4959"/>
    <w:rsid w:val="005F51A8"/>
    <w:rsid w:val="005F531E"/>
    <w:rsid w:val="005F5394"/>
    <w:rsid w:val="005F5743"/>
    <w:rsid w:val="005F5B27"/>
    <w:rsid w:val="005F6123"/>
    <w:rsid w:val="005F61D3"/>
    <w:rsid w:val="005F6297"/>
    <w:rsid w:val="005F6AF0"/>
    <w:rsid w:val="005F6B32"/>
    <w:rsid w:val="005F6DCA"/>
    <w:rsid w:val="005F6FEE"/>
    <w:rsid w:val="005F73F8"/>
    <w:rsid w:val="005F74B0"/>
    <w:rsid w:val="005F7E7D"/>
    <w:rsid w:val="00600009"/>
    <w:rsid w:val="006005E2"/>
    <w:rsid w:val="00600886"/>
    <w:rsid w:val="00600FB0"/>
    <w:rsid w:val="00601252"/>
    <w:rsid w:val="0060188E"/>
    <w:rsid w:val="00602268"/>
    <w:rsid w:val="00602C5E"/>
    <w:rsid w:val="00602D70"/>
    <w:rsid w:val="00602D71"/>
    <w:rsid w:val="006031A6"/>
    <w:rsid w:val="0060332A"/>
    <w:rsid w:val="00603829"/>
    <w:rsid w:val="00603868"/>
    <w:rsid w:val="0060390B"/>
    <w:rsid w:val="0060410D"/>
    <w:rsid w:val="00604357"/>
    <w:rsid w:val="00604501"/>
    <w:rsid w:val="00604731"/>
    <w:rsid w:val="00604859"/>
    <w:rsid w:val="00604B09"/>
    <w:rsid w:val="00604C3B"/>
    <w:rsid w:val="00604C48"/>
    <w:rsid w:val="00604F69"/>
    <w:rsid w:val="00604F6A"/>
    <w:rsid w:val="00605013"/>
    <w:rsid w:val="006051E6"/>
    <w:rsid w:val="00605710"/>
    <w:rsid w:val="006059D1"/>
    <w:rsid w:val="006059E4"/>
    <w:rsid w:val="00605A29"/>
    <w:rsid w:val="00605A80"/>
    <w:rsid w:val="00605E02"/>
    <w:rsid w:val="00605F4C"/>
    <w:rsid w:val="006062BD"/>
    <w:rsid w:val="00606C0D"/>
    <w:rsid w:val="00606FC3"/>
    <w:rsid w:val="00607891"/>
    <w:rsid w:val="00607A7B"/>
    <w:rsid w:val="00607F85"/>
    <w:rsid w:val="006100FD"/>
    <w:rsid w:val="0061095F"/>
    <w:rsid w:val="00610D45"/>
    <w:rsid w:val="00610D98"/>
    <w:rsid w:val="00610E6E"/>
    <w:rsid w:val="0061119B"/>
    <w:rsid w:val="006116B5"/>
    <w:rsid w:val="006120D9"/>
    <w:rsid w:val="00612277"/>
    <w:rsid w:val="00612414"/>
    <w:rsid w:val="006124E6"/>
    <w:rsid w:val="00612683"/>
    <w:rsid w:val="00612D89"/>
    <w:rsid w:val="00612E74"/>
    <w:rsid w:val="00613638"/>
    <w:rsid w:val="006137AF"/>
    <w:rsid w:val="00613893"/>
    <w:rsid w:val="0061392E"/>
    <w:rsid w:val="0061451F"/>
    <w:rsid w:val="006145A0"/>
    <w:rsid w:val="00614972"/>
    <w:rsid w:val="00614BB2"/>
    <w:rsid w:val="00614BBC"/>
    <w:rsid w:val="00614CAB"/>
    <w:rsid w:val="00614EAF"/>
    <w:rsid w:val="00614EE1"/>
    <w:rsid w:val="0061513C"/>
    <w:rsid w:val="006157C1"/>
    <w:rsid w:val="00615D1B"/>
    <w:rsid w:val="00615E7B"/>
    <w:rsid w:val="0061618A"/>
    <w:rsid w:val="00616902"/>
    <w:rsid w:val="00616C14"/>
    <w:rsid w:val="00616D0B"/>
    <w:rsid w:val="00616F99"/>
    <w:rsid w:val="00616FCB"/>
    <w:rsid w:val="0061704E"/>
    <w:rsid w:val="0061711D"/>
    <w:rsid w:val="0061730A"/>
    <w:rsid w:val="00617342"/>
    <w:rsid w:val="0061741D"/>
    <w:rsid w:val="00620287"/>
    <w:rsid w:val="0062040A"/>
    <w:rsid w:val="00620C80"/>
    <w:rsid w:val="00620CF4"/>
    <w:rsid w:val="00621157"/>
    <w:rsid w:val="006211BD"/>
    <w:rsid w:val="0062140E"/>
    <w:rsid w:val="0062144E"/>
    <w:rsid w:val="00621528"/>
    <w:rsid w:val="00621C10"/>
    <w:rsid w:val="00621C42"/>
    <w:rsid w:val="00621C8D"/>
    <w:rsid w:val="0062217A"/>
    <w:rsid w:val="00622204"/>
    <w:rsid w:val="006223BF"/>
    <w:rsid w:val="006229EB"/>
    <w:rsid w:val="00622ABC"/>
    <w:rsid w:val="00622B88"/>
    <w:rsid w:val="00622BF7"/>
    <w:rsid w:val="00623310"/>
    <w:rsid w:val="006237D8"/>
    <w:rsid w:val="00623B12"/>
    <w:rsid w:val="00623F29"/>
    <w:rsid w:val="00624069"/>
    <w:rsid w:val="00624292"/>
    <w:rsid w:val="0062461A"/>
    <w:rsid w:val="006248F9"/>
    <w:rsid w:val="00624BB6"/>
    <w:rsid w:val="00624D35"/>
    <w:rsid w:val="00624DDF"/>
    <w:rsid w:val="00624E9B"/>
    <w:rsid w:val="0062528C"/>
    <w:rsid w:val="00625545"/>
    <w:rsid w:val="006255BF"/>
    <w:rsid w:val="006255D2"/>
    <w:rsid w:val="006257C5"/>
    <w:rsid w:val="00625838"/>
    <w:rsid w:val="00625850"/>
    <w:rsid w:val="00625885"/>
    <w:rsid w:val="00625B98"/>
    <w:rsid w:val="00625C00"/>
    <w:rsid w:val="00626544"/>
    <w:rsid w:val="0062665C"/>
    <w:rsid w:val="006267FB"/>
    <w:rsid w:val="00626B9E"/>
    <w:rsid w:val="00626C4E"/>
    <w:rsid w:val="00626EF3"/>
    <w:rsid w:val="00627174"/>
    <w:rsid w:val="00627189"/>
    <w:rsid w:val="00627504"/>
    <w:rsid w:val="0062766C"/>
    <w:rsid w:val="00627B44"/>
    <w:rsid w:val="00630450"/>
    <w:rsid w:val="0063074A"/>
    <w:rsid w:val="006307C7"/>
    <w:rsid w:val="00630BE4"/>
    <w:rsid w:val="00630C4F"/>
    <w:rsid w:val="00630CF4"/>
    <w:rsid w:val="00630D2D"/>
    <w:rsid w:val="006310BE"/>
    <w:rsid w:val="00631666"/>
    <w:rsid w:val="00631908"/>
    <w:rsid w:val="00631CA5"/>
    <w:rsid w:val="00632516"/>
    <w:rsid w:val="00633533"/>
    <w:rsid w:val="006335CD"/>
    <w:rsid w:val="00633900"/>
    <w:rsid w:val="00633A91"/>
    <w:rsid w:val="0063458A"/>
    <w:rsid w:val="006350C6"/>
    <w:rsid w:val="00635257"/>
    <w:rsid w:val="006352C0"/>
    <w:rsid w:val="0063568E"/>
    <w:rsid w:val="006356C2"/>
    <w:rsid w:val="006358A4"/>
    <w:rsid w:val="006358BF"/>
    <w:rsid w:val="00635CB1"/>
    <w:rsid w:val="0063639B"/>
    <w:rsid w:val="0063644F"/>
    <w:rsid w:val="00636642"/>
    <w:rsid w:val="00636901"/>
    <w:rsid w:val="006369AB"/>
    <w:rsid w:val="00636D45"/>
    <w:rsid w:val="00637076"/>
    <w:rsid w:val="00637261"/>
    <w:rsid w:val="006372FB"/>
    <w:rsid w:val="00637684"/>
    <w:rsid w:val="00637B7F"/>
    <w:rsid w:val="00637BE3"/>
    <w:rsid w:val="00637D8E"/>
    <w:rsid w:val="00640087"/>
    <w:rsid w:val="0064016C"/>
    <w:rsid w:val="00640542"/>
    <w:rsid w:val="00640576"/>
    <w:rsid w:val="006405F0"/>
    <w:rsid w:val="0064061E"/>
    <w:rsid w:val="006406E3"/>
    <w:rsid w:val="006407EB"/>
    <w:rsid w:val="0064090B"/>
    <w:rsid w:val="00640B60"/>
    <w:rsid w:val="00640CEF"/>
    <w:rsid w:val="006410FF"/>
    <w:rsid w:val="0064172A"/>
    <w:rsid w:val="00641900"/>
    <w:rsid w:val="00641D04"/>
    <w:rsid w:val="00641E17"/>
    <w:rsid w:val="00642168"/>
    <w:rsid w:val="00642206"/>
    <w:rsid w:val="0064230F"/>
    <w:rsid w:val="00642EA3"/>
    <w:rsid w:val="00642F26"/>
    <w:rsid w:val="00642F4D"/>
    <w:rsid w:val="00643173"/>
    <w:rsid w:val="006433EA"/>
    <w:rsid w:val="00643792"/>
    <w:rsid w:val="00643AC2"/>
    <w:rsid w:val="0064461D"/>
    <w:rsid w:val="006447FB"/>
    <w:rsid w:val="0064498B"/>
    <w:rsid w:val="00644CAE"/>
    <w:rsid w:val="00645103"/>
    <w:rsid w:val="006452CD"/>
    <w:rsid w:val="00645487"/>
    <w:rsid w:val="00645522"/>
    <w:rsid w:val="0064563C"/>
    <w:rsid w:val="00645CEF"/>
    <w:rsid w:val="006460F0"/>
    <w:rsid w:val="00646214"/>
    <w:rsid w:val="00646269"/>
    <w:rsid w:val="00646414"/>
    <w:rsid w:val="0064687D"/>
    <w:rsid w:val="00646D12"/>
    <w:rsid w:val="00646E2A"/>
    <w:rsid w:val="00646F85"/>
    <w:rsid w:val="0064714E"/>
    <w:rsid w:val="0064726B"/>
    <w:rsid w:val="006472D6"/>
    <w:rsid w:val="00647374"/>
    <w:rsid w:val="006475EA"/>
    <w:rsid w:val="006479CE"/>
    <w:rsid w:val="0065005C"/>
    <w:rsid w:val="00650E63"/>
    <w:rsid w:val="0065104F"/>
    <w:rsid w:val="00651C9C"/>
    <w:rsid w:val="00651C9F"/>
    <w:rsid w:val="00651D46"/>
    <w:rsid w:val="00652107"/>
    <w:rsid w:val="006522D7"/>
    <w:rsid w:val="006526F4"/>
    <w:rsid w:val="00652971"/>
    <w:rsid w:val="00652B85"/>
    <w:rsid w:val="00652CE1"/>
    <w:rsid w:val="00653062"/>
    <w:rsid w:val="006532F9"/>
    <w:rsid w:val="00653A11"/>
    <w:rsid w:val="00653D2D"/>
    <w:rsid w:val="00653EBB"/>
    <w:rsid w:val="00653EF0"/>
    <w:rsid w:val="006541A8"/>
    <w:rsid w:val="0065459C"/>
    <w:rsid w:val="0065475C"/>
    <w:rsid w:val="00654AC2"/>
    <w:rsid w:val="00654BD3"/>
    <w:rsid w:val="00654D51"/>
    <w:rsid w:val="00654F35"/>
    <w:rsid w:val="006551AD"/>
    <w:rsid w:val="006551EC"/>
    <w:rsid w:val="006552AE"/>
    <w:rsid w:val="0065551C"/>
    <w:rsid w:val="00655BE9"/>
    <w:rsid w:val="00656F6C"/>
    <w:rsid w:val="00657595"/>
    <w:rsid w:val="00657965"/>
    <w:rsid w:val="00657C20"/>
    <w:rsid w:val="00660170"/>
    <w:rsid w:val="006603B7"/>
    <w:rsid w:val="006603C7"/>
    <w:rsid w:val="006603EE"/>
    <w:rsid w:val="00660591"/>
    <w:rsid w:val="006606F2"/>
    <w:rsid w:val="006607DC"/>
    <w:rsid w:val="0066082B"/>
    <w:rsid w:val="00660A02"/>
    <w:rsid w:val="00660CC9"/>
    <w:rsid w:val="00660ECF"/>
    <w:rsid w:val="0066147A"/>
    <w:rsid w:val="006617A5"/>
    <w:rsid w:val="006617A7"/>
    <w:rsid w:val="00661E87"/>
    <w:rsid w:val="00662027"/>
    <w:rsid w:val="0066269B"/>
    <w:rsid w:val="00662946"/>
    <w:rsid w:val="00662C97"/>
    <w:rsid w:val="006631E1"/>
    <w:rsid w:val="0066375E"/>
    <w:rsid w:val="00663E15"/>
    <w:rsid w:val="00663E17"/>
    <w:rsid w:val="00664117"/>
    <w:rsid w:val="00664212"/>
    <w:rsid w:val="00664237"/>
    <w:rsid w:val="006642DE"/>
    <w:rsid w:val="006646F6"/>
    <w:rsid w:val="00664753"/>
    <w:rsid w:val="00664789"/>
    <w:rsid w:val="00664E9E"/>
    <w:rsid w:val="0066554B"/>
    <w:rsid w:val="00665596"/>
    <w:rsid w:val="006656E1"/>
    <w:rsid w:val="0066570C"/>
    <w:rsid w:val="006657E6"/>
    <w:rsid w:val="00665B27"/>
    <w:rsid w:val="00665EF1"/>
    <w:rsid w:val="00666055"/>
    <w:rsid w:val="00666110"/>
    <w:rsid w:val="00666212"/>
    <w:rsid w:val="0066660E"/>
    <w:rsid w:val="0066683D"/>
    <w:rsid w:val="00666D58"/>
    <w:rsid w:val="00666DC5"/>
    <w:rsid w:val="00667094"/>
    <w:rsid w:val="006670D0"/>
    <w:rsid w:val="006670F1"/>
    <w:rsid w:val="00667424"/>
    <w:rsid w:val="00667CD1"/>
    <w:rsid w:val="00670903"/>
    <w:rsid w:val="00670BF8"/>
    <w:rsid w:val="00670DE5"/>
    <w:rsid w:val="0067137F"/>
    <w:rsid w:val="00671426"/>
    <w:rsid w:val="00671992"/>
    <w:rsid w:val="00672B32"/>
    <w:rsid w:val="006736DF"/>
    <w:rsid w:val="00673B33"/>
    <w:rsid w:val="00673BE3"/>
    <w:rsid w:val="00673CCD"/>
    <w:rsid w:val="00673E2E"/>
    <w:rsid w:val="0067410B"/>
    <w:rsid w:val="00674799"/>
    <w:rsid w:val="0067484B"/>
    <w:rsid w:val="006748B3"/>
    <w:rsid w:val="0067492A"/>
    <w:rsid w:val="00674939"/>
    <w:rsid w:val="00674C1C"/>
    <w:rsid w:val="00674DD9"/>
    <w:rsid w:val="00674EA9"/>
    <w:rsid w:val="00674EC1"/>
    <w:rsid w:val="0067552E"/>
    <w:rsid w:val="006757B9"/>
    <w:rsid w:val="00675C99"/>
    <w:rsid w:val="00675E3A"/>
    <w:rsid w:val="00675FF5"/>
    <w:rsid w:val="0067610F"/>
    <w:rsid w:val="006761B4"/>
    <w:rsid w:val="0067633E"/>
    <w:rsid w:val="00676444"/>
    <w:rsid w:val="00676661"/>
    <w:rsid w:val="006766E2"/>
    <w:rsid w:val="00676F54"/>
    <w:rsid w:val="00677756"/>
    <w:rsid w:val="00677810"/>
    <w:rsid w:val="0067786D"/>
    <w:rsid w:val="0067787C"/>
    <w:rsid w:val="006779E0"/>
    <w:rsid w:val="00677AC8"/>
    <w:rsid w:val="00677F32"/>
    <w:rsid w:val="00680099"/>
    <w:rsid w:val="006800CA"/>
    <w:rsid w:val="00680380"/>
    <w:rsid w:val="0068045C"/>
    <w:rsid w:val="0068083B"/>
    <w:rsid w:val="00680F27"/>
    <w:rsid w:val="00681951"/>
    <w:rsid w:val="00682FA8"/>
    <w:rsid w:val="006834BA"/>
    <w:rsid w:val="00683536"/>
    <w:rsid w:val="00683C09"/>
    <w:rsid w:val="00683DC6"/>
    <w:rsid w:val="00684079"/>
    <w:rsid w:val="006843C8"/>
    <w:rsid w:val="00684888"/>
    <w:rsid w:val="00685A15"/>
    <w:rsid w:val="00685C62"/>
    <w:rsid w:val="00685CDC"/>
    <w:rsid w:val="00685F1E"/>
    <w:rsid w:val="00686AE8"/>
    <w:rsid w:val="00686C87"/>
    <w:rsid w:val="00687183"/>
    <w:rsid w:val="00687456"/>
    <w:rsid w:val="00687568"/>
    <w:rsid w:val="00687812"/>
    <w:rsid w:val="0068782E"/>
    <w:rsid w:val="006879FD"/>
    <w:rsid w:val="00687F2C"/>
    <w:rsid w:val="00690082"/>
    <w:rsid w:val="00690123"/>
    <w:rsid w:val="006901D4"/>
    <w:rsid w:val="00690430"/>
    <w:rsid w:val="00690A82"/>
    <w:rsid w:val="00690D83"/>
    <w:rsid w:val="00690FA7"/>
    <w:rsid w:val="00691068"/>
    <w:rsid w:val="006916A0"/>
    <w:rsid w:val="00692039"/>
    <w:rsid w:val="00692085"/>
    <w:rsid w:val="00692162"/>
    <w:rsid w:val="00692211"/>
    <w:rsid w:val="006922FE"/>
    <w:rsid w:val="0069267C"/>
    <w:rsid w:val="00692E35"/>
    <w:rsid w:val="00693508"/>
    <w:rsid w:val="0069351F"/>
    <w:rsid w:val="006939ED"/>
    <w:rsid w:val="00693A39"/>
    <w:rsid w:val="00693B3D"/>
    <w:rsid w:val="006942F4"/>
    <w:rsid w:val="0069476D"/>
    <w:rsid w:val="0069496E"/>
    <w:rsid w:val="00694F0E"/>
    <w:rsid w:val="0069511D"/>
    <w:rsid w:val="006955B6"/>
    <w:rsid w:val="00695A03"/>
    <w:rsid w:val="00695A90"/>
    <w:rsid w:val="00695B71"/>
    <w:rsid w:val="0069657E"/>
    <w:rsid w:val="006968A3"/>
    <w:rsid w:val="00696933"/>
    <w:rsid w:val="00697524"/>
    <w:rsid w:val="00697641"/>
    <w:rsid w:val="0069778A"/>
    <w:rsid w:val="00697CBC"/>
    <w:rsid w:val="006A049D"/>
    <w:rsid w:val="006A0AD9"/>
    <w:rsid w:val="006A0F4D"/>
    <w:rsid w:val="006A1900"/>
    <w:rsid w:val="006A1AF4"/>
    <w:rsid w:val="006A1B3D"/>
    <w:rsid w:val="006A1B70"/>
    <w:rsid w:val="006A1F71"/>
    <w:rsid w:val="006A2704"/>
    <w:rsid w:val="006A30A8"/>
    <w:rsid w:val="006A30B9"/>
    <w:rsid w:val="006A31D4"/>
    <w:rsid w:val="006A3265"/>
    <w:rsid w:val="006A3314"/>
    <w:rsid w:val="006A333F"/>
    <w:rsid w:val="006A3652"/>
    <w:rsid w:val="006A365F"/>
    <w:rsid w:val="006A3762"/>
    <w:rsid w:val="006A3B7B"/>
    <w:rsid w:val="006A3D4A"/>
    <w:rsid w:val="006A441C"/>
    <w:rsid w:val="006A447E"/>
    <w:rsid w:val="006A4866"/>
    <w:rsid w:val="006A4938"/>
    <w:rsid w:val="006A497B"/>
    <w:rsid w:val="006A51A8"/>
    <w:rsid w:val="006A57FD"/>
    <w:rsid w:val="006A5D4E"/>
    <w:rsid w:val="006A5ED4"/>
    <w:rsid w:val="006A5F2C"/>
    <w:rsid w:val="006A6197"/>
    <w:rsid w:val="006A6699"/>
    <w:rsid w:val="006A6B1D"/>
    <w:rsid w:val="006A6C3B"/>
    <w:rsid w:val="006A7740"/>
    <w:rsid w:val="006A7876"/>
    <w:rsid w:val="006A7A74"/>
    <w:rsid w:val="006A7E84"/>
    <w:rsid w:val="006A7EA7"/>
    <w:rsid w:val="006B035F"/>
    <w:rsid w:val="006B07B3"/>
    <w:rsid w:val="006B07D2"/>
    <w:rsid w:val="006B0801"/>
    <w:rsid w:val="006B08AE"/>
    <w:rsid w:val="006B0C3F"/>
    <w:rsid w:val="006B0ED7"/>
    <w:rsid w:val="006B1084"/>
    <w:rsid w:val="006B1243"/>
    <w:rsid w:val="006B1B48"/>
    <w:rsid w:val="006B1C79"/>
    <w:rsid w:val="006B2003"/>
    <w:rsid w:val="006B229F"/>
    <w:rsid w:val="006B2372"/>
    <w:rsid w:val="006B23C0"/>
    <w:rsid w:val="006B28AB"/>
    <w:rsid w:val="006B2ADC"/>
    <w:rsid w:val="006B2B3D"/>
    <w:rsid w:val="006B2EEE"/>
    <w:rsid w:val="006B32BD"/>
    <w:rsid w:val="006B48C4"/>
    <w:rsid w:val="006B4B97"/>
    <w:rsid w:val="006B4D0D"/>
    <w:rsid w:val="006B4DD1"/>
    <w:rsid w:val="006B5058"/>
    <w:rsid w:val="006B5312"/>
    <w:rsid w:val="006B5907"/>
    <w:rsid w:val="006B5B55"/>
    <w:rsid w:val="006B5D32"/>
    <w:rsid w:val="006B5FA0"/>
    <w:rsid w:val="006B63AA"/>
    <w:rsid w:val="006B63DF"/>
    <w:rsid w:val="006B64AD"/>
    <w:rsid w:val="006B66B8"/>
    <w:rsid w:val="006B6703"/>
    <w:rsid w:val="006B6A9B"/>
    <w:rsid w:val="006B6B53"/>
    <w:rsid w:val="006B6D97"/>
    <w:rsid w:val="006B6DD4"/>
    <w:rsid w:val="006B6DFF"/>
    <w:rsid w:val="006B7201"/>
    <w:rsid w:val="006B7222"/>
    <w:rsid w:val="006B7254"/>
    <w:rsid w:val="006B72C7"/>
    <w:rsid w:val="006B72EB"/>
    <w:rsid w:val="006B73D2"/>
    <w:rsid w:val="006B77D8"/>
    <w:rsid w:val="006B7A42"/>
    <w:rsid w:val="006B7D29"/>
    <w:rsid w:val="006C00DE"/>
    <w:rsid w:val="006C01BA"/>
    <w:rsid w:val="006C041C"/>
    <w:rsid w:val="006C0578"/>
    <w:rsid w:val="006C0629"/>
    <w:rsid w:val="006C08AB"/>
    <w:rsid w:val="006C0982"/>
    <w:rsid w:val="006C100B"/>
    <w:rsid w:val="006C1525"/>
    <w:rsid w:val="006C1EF0"/>
    <w:rsid w:val="006C2140"/>
    <w:rsid w:val="006C2314"/>
    <w:rsid w:val="006C23FA"/>
    <w:rsid w:val="006C2453"/>
    <w:rsid w:val="006C257C"/>
    <w:rsid w:val="006C29AB"/>
    <w:rsid w:val="006C2A58"/>
    <w:rsid w:val="006C2BF9"/>
    <w:rsid w:val="006C2C41"/>
    <w:rsid w:val="006C2DCD"/>
    <w:rsid w:val="006C32B2"/>
    <w:rsid w:val="006C368F"/>
    <w:rsid w:val="006C37EF"/>
    <w:rsid w:val="006C3CBC"/>
    <w:rsid w:val="006C4161"/>
    <w:rsid w:val="006C4171"/>
    <w:rsid w:val="006C46A8"/>
    <w:rsid w:val="006C4DFB"/>
    <w:rsid w:val="006C56CD"/>
    <w:rsid w:val="006C585B"/>
    <w:rsid w:val="006C59A8"/>
    <w:rsid w:val="006C61A8"/>
    <w:rsid w:val="006C63F3"/>
    <w:rsid w:val="006C6532"/>
    <w:rsid w:val="006C788A"/>
    <w:rsid w:val="006C79E3"/>
    <w:rsid w:val="006D0255"/>
    <w:rsid w:val="006D0453"/>
    <w:rsid w:val="006D05F3"/>
    <w:rsid w:val="006D0633"/>
    <w:rsid w:val="006D0796"/>
    <w:rsid w:val="006D0A61"/>
    <w:rsid w:val="006D106C"/>
    <w:rsid w:val="006D112A"/>
    <w:rsid w:val="006D1220"/>
    <w:rsid w:val="006D17F4"/>
    <w:rsid w:val="006D1A6E"/>
    <w:rsid w:val="006D1C25"/>
    <w:rsid w:val="006D1CC5"/>
    <w:rsid w:val="006D1D0A"/>
    <w:rsid w:val="006D2A21"/>
    <w:rsid w:val="006D335A"/>
    <w:rsid w:val="006D3AD7"/>
    <w:rsid w:val="006D3B43"/>
    <w:rsid w:val="006D3BD2"/>
    <w:rsid w:val="006D4275"/>
    <w:rsid w:val="006D4288"/>
    <w:rsid w:val="006D444B"/>
    <w:rsid w:val="006D488C"/>
    <w:rsid w:val="006D49D3"/>
    <w:rsid w:val="006D4B1C"/>
    <w:rsid w:val="006D5006"/>
    <w:rsid w:val="006D50D2"/>
    <w:rsid w:val="006D528A"/>
    <w:rsid w:val="006D55D1"/>
    <w:rsid w:val="006D5A27"/>
    <w:rsid w:val="006D5B1D"/>
    <w:rsid w:val="006D5B68"/>
    <w:rsid w:val="006D5C50"/>
    <w:rsid w:val="006D5E5A"/>
    <w:rsid w:val="006D5F51"/>
    <w:rsid w:val="006D62B1"/>
    <w:rsid w:val="006D6800"/>
    <w:rsid w:val="006D685D"/>
    <w:rsid w:val="006D6992"/>
    <w:rsid w:val="006D7524"/>
    <w:rsid w:val="006D7608"/>
    <w:rsid w:val="006D777C"/>
    <w:rsid w:val="006D781C"/>
    <w:rsid w:val="006D79E5"/>
    <w:rsid w:val="006D7B37"/>
    <w:rsid w:val="006D7BE9"/>
    <w:rsid w:val="006D7C9D"/>
    <w:rsid w:val="006E023A"/>
    <w:rsid w:val="006E02E4"/>
    <w:rsid w:val="006E0E52"/>
    <w:rsid w:val="006E1078"/>
    <w:rsid w:val="006E13D5"/>
    <w:rsid w:val="006E1BE1"/>
    <w:rsid w:val="006E1F33"/>
    <w:rsid w:val="006E20D8"/>
    <w:rsid w:val="006E2188"/>
    <w:rsid w:val="006E2F82"/>
    <w:rsid w:val="006E37C0"/>
    <w:rsid w:val="006E3906"/>
    <w:rsid w:val="006E397F"/>
    <w:rsid w:val="006E3A7B"/>
    <w:rsid w:val="006E474F"/>
    <w:rsid w:val="006E4878"/>
    <w:rsid w:val="006E497C"/>
    <w:rsid w:val="006E4DE0"/>
    <w:rsid w:val="006E5222"/>
    <w:rsid w:val="006E5698"/>
    <w:rsid w:val="006E56E7"/>
    <w:rsid w:val="006E5842"/>
    <w:rsid w:val="006E5ACF"/>
    <w:rsid w:val="006E5B1B"/>
    <w:rsid w:val="006E6067"/>
    <w:rsid w:val="006E617E"/>
    <w:rsid w:val="006E64FD"/>
    <w:rsid w:val="006E6779"/>
    <w:rsid w:val="006E67FE"/>
    <w:rsid w:val="006E6A40"/>
    <w:rsid w:val="006E6B3C"/>
    <w:rsid w:val="006E6CB5"/>
    <w:rsid w:val="006E703F"/>
    <w:rsid w:val="006E71A7"/>
    <w:rsid w:val="006E73D0"/>
    <w:rsid w:val="006E74B7"/>
    <w:rsid w:val="006E77EC"/>
    <w:rsid w:val="006E7C2D"/>
    <w:rsid w:val="006E7E7D"/>
    <w:rsid w:val="006F0500"/>
    <w:rsid w:val="006F07E1"/>
    <w:rsid w:val="006F0A03"/>
    <w:rsid w:val="006F0B37"/>
    <w:rsid w:val="006F0DBA"/>
    <w:rsid w:val="006F0DFF"/>
    <w:rsid w:val="006F1B60"/>
    <w:rsid w:val="006F1C26"/>
    <w:rsid w:val="006F1DD4"/>
    <w:rsid w:val="006F1E30"/>
    <w:rsid w:val="006F2298"/>
    <w:rsid w:val="006F23F9"/>
    <w:rsid w:val="006F26E8"/>
    <w:rsid w:val="006F270A"/>
    <w:rsid w:val="006F288F"/>
    <w:rsid w:val="006F2A17"/>
    <w:rsid w:val="006F2E32"/>
    <w:rsid w:val="006F3110"/>
    <w:rsid w:val="006F3973"/>
    <w:rsid w:val="006F3A56"/>
    <w:rsid w:val="006F3D02"/>
    <w:rsid w:val="006F3FE7"/>
    <w:rsid w:val="006F41DC"/>
    <w:rsid w:val="006F4351"/>
    <w:rsid w:val="006F435A"/>
    <w:rsid w:val="006F45C9"/>
    <w:rsid w:val="006F465D"/>
    <w:rsid w:val="006F47A3"/>
    <w:rsid w:val="006F47FF"/>
    <w:rsid w:val="006F49A1"/>
    <w:rsid w:val="006F4ACC"/>
    <w:rsid w:val="006F4BEB"/>
    <w:rsid w:val="006F4DA3"/>
    <w:rsid w:val="006F4DCF"/>
    <w:rsid w:val="006F51C8"/>
    <w:rsid w:val="006F5581"/>
    <w:rsid w:val="006F55C3"/>
    <w:rsid w:val="006F574C"/>
    <w:rsid w:val="006F580C"/>
    <w:rsid w:val="006F5C0D"/>
    <w:rsid w:val="006F5CC5"/>
    <w:rsid w:val="006F6954"/>
    <w:rsid w:val="006F6B20"/>
    <w:rsid w:val="006F6B30"/>
    <w:rsid w:val="006F6C6D"/>
    <w:rsid w:val="006F6CD2"/>
    <w:rsid w:val="006F7168"/>
    <w:rsid w:val="006F723C"/>
    <w:rsid w:val="006F7358"/>
    <w:rsid w:val="006F75F9"/>
    <w:rsid w:val="006F7720"/>
    <w:rsid w:val="006F776C"/>
    <w:rsid w:val="006F79FE"/>
    <w:rsid w:val="006F7DBA"/>
    <w:rsid w:val="006F7EF7"/>
    <w:rsid w:val="007007B9"/>
    <w:rsid w:val="007009F0"/>
    <w:rsid w:val="00700A46"/>
    <w:rsid w:val="00700B0C"/>
    <w:rsid w:val="00700EB7"/>
    <w:rsid w:val="00701194"/>
    <w:rsid w:val="00701681"/>
    <w:rsid w:val="007017B1"/>
    <w:rsid w:val="00701FEE"/>
    <w:rsid w:val="00702037"/>
    <w:rsid w:val="0070245D"/>
    <w:rsid w:val="007028FA"/>
    <w:rsid w:val="007029BE"/>
    <w:rsid w:val="00702D36"/>
    <w:rsid w:val="00702D9D"/>
    <w:rsid w:val="00702EED"/>
    <w:rsid w:val="0070388C"/>
    <w:rsid w:val="0070388D"/>
    <w:rsid w:val="00703A11"/>
    <w:rsid w:val="00704118"/>
    <w:rsid w:val="0070425A"/>
    <w:rsid w:val="00704951"/>
    <w:rsid w:val="007052A3"/>
    <w:rsid w:val="00705417"/>
    <w:rsid w:val="007057D2"/>
    <w:rsid w:val="0070595A"/>
    <w:rsid w:val="007060C1"/>
    <w:rsid w:val="00706310"/>
    <w:rsid w:val="00706532"/>
    <w:rsid w:val="00706CBC"/>
    <w:rsid w:val="00706E92"/>
    <w:rsid w:val="007071A8"/>
    <w:rsid w:val="007072E6"/>
    <w:rsid w:val="0070732F"/>
    <w:rsid w:val="00707345"/>
    <w:rsid w:val="00707A56"/>
    <w:rsid w:val="00710A03"/>
    <w:rsid w:val="0071142F"/>
    <w:rsid w:val="00711472"/>
    <w:rsid w:val="007115B2"/>
    <w:rsid w:val="007115DB"/>
    <w:rsid w:val="007119EF"/>
    <w:rsid w:val="007124B4"/>
    <w:rsid w:val="007124E8"/>
    <w:rsid w:val="007128A0"/>
    <w:rsid w:val="00712F80"/>
    <w:rsid w:val="00713199"/>
    <w:rsid w:val="007135DF"/>
    <w:rsid w:val="00713622"/>
    <w:rsid w:val="00713A21"/>
    <w:rsid w:val="00713A8F"/>
    <w:rsid w:val="00713AE0"/>
    <w:rsid w:val="00714094"/>
    <w:rsid w:val="0071441C"/>
    <w:rsid w:val="0071459F"/>
    <w:rsid w:val="00714673"/>
    <w:rsid w:val="00714804"/>
    <w:rsid w:val="0071486E"/>
    <w:rsid w:val="00714B3F"/>
    <w:rsid w:val="00714BB9"/>
    <w:rsid w:val="0071519A"/>
    <w:rsid w:val="00715285"/>
    <w:rsid w:val="00715C73"/>
    <w:rsid w:val="007160F3"/>
    <w:rsid w:val="0071610F"/>
    <w:rsid w:val="0071622B"/>
    <w:rsid w:val="00716410"/>
    <w:rsid w:val="007165FB"/>
    <w:rsid w:val="00716D9F"/>
    <w:rsid w:val="007172D0"/>
    <w:rsid w:val="00717426"/>
    <w:rsid w:val="00717622"/>
    <w:rsid w:val="00717754"/>
    <w:rsid w:val="00717B7C"/>
    <w:rsid w:val="00720247"/>
    <w:rsid w:val="00720484"/>
    <w:rsid w:val="007205BC"/>
    <w:rsid w:val="00720D14"/>
    <w:rsid w:val="00720DA8"/>
    <w:rsid w:val="00721105"/>
    <w:rsid w:val="007212E8"/>
    <w:rsid w:val="007215E0"/>
    <w:rsid w:val="00721699"/>
    <w:rsid w:val="00721943"/>
    <w:rsid w:val="00721C26"/>
    <w:rsid w:val="00721D14"/>
    <w:rsid w:val="00721DC9"/>
    <w:rsid w:val="00721DD9"/>
    <w:rsid w:val="00721DF5"/>
    <w:rsid w:val="00721EEB"/>
    <w:rsid w:val="0072240B"/>
    <w:rsid w:val="00722492"/>
    <w:rsid w:val="007224AB"/>
    <w:rsid w:val="00722738"/>
    <w:rsid w:val="0072274E"/>
    <w:rsid w:val="007228FC"/>
    <w:rsid w:val="00722E4E"/>
    <w:rsid w:val="00722FCF"/>
    <w:rsid w:val="007233FB"/>
    <w:rsid w:val="0072351C"/>
    <w:rsid w:val="00723589"/>
    <w:rsid w:val="007235F3"/>
    <w:rsid w:val="00723D64"/>
    <w:rsid w:val="0072429A"/>
    <w:rsid w:val="00724385"/>
    <w:rsid w:val="0072440B"/>
    <w:rsid w:val="0072478D"/>
    <w:rsid w:val="00724D6C"/>
    <w:rsid w:val="00724FD8"/>
    <w:rsid w:val="0072501A"/>
    <w:rsid w:val="00725361"/>
    <w:rsid w:val="007253E8"/>
    <w:rsid w:val="0072540A"/>
    <w:rsid w:val="007256EC"/>
    <w:rsid w:val="00726001"/>
    <w:rsid w:val="00726245"/>
    <w:rsid w:val="007264C3"/>
    <w:rsid w:val="007267B9"/>
    <w:rsid w:val="00726918"/>
    <w:rsid w:val="0072778F"/>
    <w:rsid w:val="00727B65"/>
    <w:rsid w:val="00727EAB"/>
    <w:rsid w:val="00730126"/>
    <w:rsid w:val="0073036E"/>
    <w:rsid w:val="0073048D"/>
    <w:rsid w:val="00730516"/>
    <w:rsid w:val="007306BA"/>
    <w:rsid w:val="00730C68"/>
    <w:rsid w:val="00730CA4"/>
    <w:rsid w:val="00731308"/>
    <w:rsid w:val="0073164E"/>
    <w:rsid w:val="007319ED"/>
    <w:rsid w:val="00732008"/>
    <w:rsid w:val="007320A7"/>
    <w:rsid w:val="0073236F"/>
    <w:rsid w:val="007327AE"/>
    <w:rsid w:val="007327E1"/>
    <w:rsid w:val="00732D88"/>
    <w:rsid w:val="00733112"/>
    <w:rsid w:val="007333A7"/>
    <w:rsid w:val="0073374C"/>
    <w:rsid w:val="00734477"/>
    <w:rsid w:val="007344B9"/>
    <w:rsid w:val="00734807"/>
    <w:rsid w:val="00734B1F"/>
    <w:rsid w:val="007350F8"/>
    <w:rsid w:val="007355D0"/>
    <w:rsid w:val="0073585C"/>
    <w:rsid w:val="00736167"/>
    <w:rsid w:val="00736852"/>
    <w:rsid w:val="007368AD"/>
    <w:rsid w:val="00736A96"/>
    <w:rsid w:val="00736AFE"/>
    <w:rsid w:val="0073707B"/>
    <w:rsid w:val="0073718E"/>
    <w:rsid w:val="0073749C"/>
    <w:rsid w:val="00737509"/>
    <w:rsid w:val="00737CF6"/>
    <w:rsid w:val="0074058E"/>
    <w:rsid w:val="007405D0"/>
    <w:rsid w:val="00740B92"/>
    <w:rsid w:val="00740F0D"/>
    <w:rsid w:val="007419B1"/>
    <w:rsid w:val="00741A1C"/>
    <w:rsid w:val="00741FE0"/>
    <w:rsid w:val="007422D8"/>
    <w:rsid w:val="0074247F"/>
    <w:rsid w:val="0074280F"/>
    <w:rsid w:val="00742F41"/>
    <w:rsid w:val="00743018"/>
    <w:rsid w:val="00743838"/>
    <w:rsid w:val="00743B06"/>
    <w:rsid w:val="00743F9C"/>
    <w:rsid w:val="00744459"/>
    <w:rsid w:val="007448C0"/>
    <w:rsid w:val="00744BF8"/>
    <w:rsid w:val="00744C04"/>
    <w:rsid w:val="00744E29"/>
    <w:rsid w:val="007451EE"/>
    <w:rsid w:val="007453A4"/>
    <w:rsid w:val="0074542C"/>
    <w:rsid w:val="007455F1"/>
    <w:rsid w:val="00745ED3"/>
    <w:rsid w:val="00746351"/>
    <w:rsid w:val="00746391"/>
    <w:rsid w:val="007465C2"/>
    <w:rsid w:val="00746718"/>
    <w:rsid w:val="0074694F"/>
    <w:rsid w:val="0074735D"/>
    <w:rsid w:val="007473FA"/>
    <w:rsid w:val="007479F5"/>
    <w:rsid w:val="00747C0F"/>
    <w:rsid w:val="00747C97"/>
    <w:rsid w:val="00750580"/>
    <w:rsid w:val="007505EA"/>
    <w:rsid w:val="00750A42"/>
    <w:rsid w:val="00750F18"/>
    <w:rsid w:val="0075115A"/>
    <w:rsid w:val="00751187"/>
    <w:rsid w:val="0075123D"/>
    <w:rsid w:val="007516BD"/>
    <w:rsid w:val="007517C1"/>
    <w:rsid w:val="00751888"/>
    <w:rsid w:val="007519F1"/>
    <w:rsid w:val="00751B3E"/>
    <w:rsid w:val="00751C0C"/>
    <w:rsid w:val="007520F4"/>
    <w:rsid w:val="00752365"/>
    <w:rsid w:val="00752370"/>
    <w:rsid w:val="00752403"/>
    <w:rsid w:val="007524D6"/>
    <w:rsid w:val="007527D5"/>
    <w:rsid w:val="00752F2D"/>
    <w:rsid w:val="00752F42"/>
    <w:rsid w:val="00753222"/>
    <w:rsid w:val="0075338C"/>
    <w:rsid w:val="00753634"/>
    <w:rsid w:val="007539CD"/>
    <w:rsid w:val="00753D23"/>
    <w:rsid w:val="00753E27"/>
    <w:rsid w:val="00754078"/>
    <w:rsid w:val="00754219"/>
    <w:rsid w:val="007546CF"/>
    <w:rsid w:val="007547B9"/>
    <w:rsid w:val="007547BF"/>
    <w:rsid w:val="00754861"/>
    <w:rsid w:val="00754A10"/>
    <w:rsid w:val="00754DDF"/>
    <w:rsid w:val="007554B3"/>
    <w:rsid w:val="00755826"/>
    <w:rsid w:val="00755866"/>
    <w:rsid w:val="00755A18"/>
    <w:rsid w:val="00755C78"/>
    <w:rsid w:val="0075600E"/>
    <w:rsid w:val="00756144"/>
    <w:rsid w:val="007563DA"/>
    <w:rsid w:val="00756A21"/>
    <w:rsid w:val="00756B53"/>
    <w:rsid w:val="00756C5C"/>
    <w:rsid w:val="00756C61"/>
    <w:rsid w:val="00756DC9"/>
    <w:rsid w:val="0075714A"/>
    <w:rsid w:val="0075718C"/>
    <w:rsid w:val="00757466"/>
    <w:rsid w:val="007575D5"/>
    <w:rsid w:val="00757AE2"/>
    <w:rsid w:val="00757D05"/>
    <w:rsid w:val="00757DD0"/>
    <w:rsid w:val="007601CF"/>
    <w:rsid w:val="00760477"/>
    <w:rsid w:val="0076092E"/>
    <w:rsid w:val="00760B65"/>
    <w:rsid w:val="007613EC"/>
    <w:rsid w:val="00761469"/>
    <w:rsid w:val="00761526"/>
    <w:rsid w:val="0076154B"/>
    <w:rsid w:val="00761727"/>
    <w:rsid w:val="00761B3E"/>
    <w:rsid w:val="00761B5B"/>
    <w:rsid w:val="00761FB5"/>
    <w:rsid w:val="00762324"/>
    <w:rsid w:val="0076260C"/>
    <w:rsid w:val="00762680"/>
    <w:rsid w:val="007629B6"/>
    <w:rsid w:val="00762A0F"/>
    <w:rsid w:val="00762E24"/>
    <w:rsid w:val="00763339"/>
    <w:rsid w:val="007634C4"/>
    <w:rsid w:val="007634D6"/>
    <w:rsid w:val="007636A9"/>
    <w:rsid w:val="00763C54"/>
    <w:rsid w:val="00763E58"/>
    <w:rsid w:val="007640E1"/>
    <w:rsid w:val="00764270"/>
    <w:rsid w:val="00764465"/>
    <w:rsid w:val="00764671"/>
    <w:rsid w:val="00764777"/>
    <w:rsid w:val="00764AB3"/>
    <w:rsid w:val="00764C89"/>
    <w:rsid w:val="0076522F"/>
    <w:rsid w:val="007654B8"/>
    <w:rsid w:val="00765842"/>
    <w:rsid w:val="00765B07"/>
    <w:rsid w:val="00765B62"/>
    <w:rsid w:val="00765E14"/>
    <w:rsid w:val="00765EAD"/>
    <w:rsid w:val="00765EF8"/>
    <w:rsid w:val="00765F42"/>
    <w:rsid w:val="007661D4"/>
    <w:rsid w:val="007665BF"/>
    <w:rsid w:val="00766D09"/>
    <w:rsid w:val="00766DF8"/>
    <w:rsid w:val="007672BE"/>
    <w:rsid w:val="00767319"/>
    <w:rsid w:val="0076788E"/>
    <w:rsid w:val="00767B41"/>
    <w:rsid w:val="007702CC"/>
    <w:rsid w:val="00770356"/>
    <w:rsid w:val="007704F9"/>
    <w:rsid w:val="00770552"/>
    <w:rsid w:val="007705E4"/>
    <w:rsid w:val="0077077F"/>
    <w:rsid w:val="007708EF"/>
    <w:rsid w:val="00770B55"/>
    <w:rsid w:val="00771022"/>
    <w:rsid w:val="007710D1"/>
    <w:rsid w:val="007711CB"/>
    <w:rsid w:val="00771487"/>
    <w:rsid w:val="0077172A"/>
    <w:rsid w:val="007719F0"/>
    <w:rsid w:val="00771D35"/>
    <w:rsid w:val="007720EE"/>
    <w:rsid w:val="007721A2"/>
    <w:rsid w:val="007723E8"/>
    <w:rsid w:val="00772550"/>
    <w:rsid w:val="0077262F"/>
    <w:rsid w:val="00772D4B"/>
    <w:rsid w:val="00772D51"/>
    <w:rsid w:val="00773156"/>
    <w:rsid w:val="007737A3"/>
    <w:rsid w:val="00773A3F"/>
    <w:rsid w:val="00773AF8"/>
    <w:rsid w:val="00774215"/>
    <w:rsid w:val="00774369"/>
    <w:rsid w:val="007744B3"/>
    <w:rsid w:val="007744CA"/>
    <w:rsid w:val="0077490C"/>
    <w:rsid w:val="0077597E"/>
    <w:rsid w:val="00775B2F"/>
    <w:rsid w:val="00775E23"/>
    <w:rsid w:val="00775F6F"/>
    <w:rsid w:val="00776347"/>
    <w:rsid w:val="0077674D"/>
    <w:rsid w:val="0077696C"/>
    <w:rsid w:val="007769A3"/>
    <w:rsid w:val="0077703F"/>
    <w:rsid w:val="007770C3"/>
    <w:rsid w:val="00777245"/>
    <w:rsid w:val="00777572"/>
    <w:rsid w:val="00777A0E"/>
    <w:rsid w:val="00780DE7"/>
    <w:rsid w:val="00780FB2"/>
    <w:rsid w:val="00781050"/>
    <w:rsid w:val="007813CE"/>
    <w:rsid w:val="00782191"/>
    <w:rsid w:val="0078266D"/>
    <w:rsid w:val="00782808"/>
    <w:rsid w:val="0078292B"/>
    <w:rsid w:val="00782980"/>
    <w:rsid w:val="00783168"/>
    <w:rsid w:val="00783463"/>
    <w:rsid w:val="00783A58"/>
    <w:rsid w:val="00783B0A"/>
    <w:rsid w:val="00783BAC"/>
    <w:rsid w:val="0078436E"/>
    <w:rsid w:val="00784451"/>
    <w:rsid w:val="00784602"/>
    <w:rsid w:val="00784932"/>
    <w:rsid w:val="0078498E"/>
    <w:rsid w:val="007849BC"/>
    <w:rsid w:val="00784A5D"/>
    <w:rsid w:val="00784D27"/>
    <w:rsid w:val="00784D2D"/>
    <w:rsid w:val="00784E8E"/>
    <w:rsid w:val="0078519A"/>
    <w:rsid w:val="0078549B"/>
    <w:rsid w:val="007855A7"/>
    <w:rsid w:val="007855C8"/>
    <w:rsid w:val="00785A32"/>
    <w:rsid w:val="00785AB8"/>
    <w:rsid w:val="00785C31"/>
    <w:rsid w:val="00785F55"/>
    <w:rsid w:val="00786213"/>
    <w:rsid w:val="00786D5B"/>
    <w:rsid w:val="007874F3"/>
    <w:rsid w:val="007877C7"/>
    <w:rsid w:val="00787829"/>
    <w:rsid w:val="00787E71"/>
    <w:rsid w:val="007901EE"/>
    <w:rsid w:val="00790612"/>
    <w:rsid w:val="0079072B"/>
    <w:rsid w:val="0079093B"/>
    <w:rsid w:val="007909ED"/>
    <w:rsid w:val="00790A1A"/>
    <w:rsid w:val="00790CEB"/>
    <w:rsid w:val="00791021"/>
    <w:rsid w:val="0079144F"/>
    <w:rsid w:val="007914FD"/>
    <w:rsid w:val="0079150D"/>
    <w:rsid w:val="00792B08"/>
    <w:rsid w:val="00792B84"/>
    <w:rsid w:val="00792CF5"/>
    <w:rsid w:val="00792F71"/>
    <w:rsid w:val="007932BB"/>
    <w:rsid w:val="00793498"/>
    <w:rsid w:val="0079350E"/>
    <w:rsid w:val="00793AD6"/>
    <w:rsid w:val="00794060"/>
    <w:rsid w:val="007943D3"/>
    <w:rsid w:val="00794689"/>
    <w:rsid w:val="00794B64"/>
    <w:rsid w:val="00794C53"/>
    <w:rsid w:val="007955B8"/>
    <w:rsid w:val="00795827"/>
    <w:rsid w:val="00795B32"/>
    <w:rsid w:val="00795EB0"/>
    <w:rsid w:val="00795F69"/>
    <w:rsid w:val="0079673B"/>
    <w:rsid w:val="007968D4"/>
    <w:rsid w:val="0079694A"/>
    <w:rsid w:val="0079694E"/>
    <w:rsid w:val="00796EBB"/>
    <w:rsid w:val="0079746F"/>
    <w:rsid w:val="00797549"/>
    <w:rsid w:val="0079774C"/>
    <w:rsid w:val="00797DAE"/>
    <w:rsid w:val="007A0025"/>
    <w:rsid w:val="007A037B"/>
    <w:rsid w:val="007A07C9"/>
    <w:rsid w:val="007A19D1"/>
    <w:rsid w:val="007A1BBC"/>
    <w:rsid w:val="007A1BCA"/>
    <w:rsid w:val="007A1CB1"/>
    <w:rsid w:val="007A1F10"/>
    <w:rsid w:val="007A2035"/>
    <w:rsid w:val="007A2399"/>
    <w:rsid w:val="007A2744"/>
    <w:rsid w:val="007A2770"/>
    <w:rsid w:val="007A28C5"/>
    <w:rsid w:val="007A321A"/>
    <w:rsid w:val="007A36F3"/>
    <w:rsid w:val="007A3801"/>
    <w:rsid w:val="007A3885"/>
    <w:rsid w:val="007A3D48"/>
    <w:rsid w:val="007A4597"/>
    <w:rsid w:val="007A4F45"/>
    <w:rsid w:val="007A52D6"/>
    <w:rsid w:val="007A545D"/>
    <w:rsid w:val="007A5489"/>
    <w:rsid w:val="007A5709"/>
    <w:rsid w:val="007A5B8E"/>
    <w:rsid w:val="007A5C15"/>
    <w:rsid w:val="007A5C41"/>
    <w:rsid w:val="007A5D3E"/>
    <w:rsid w:val="007A5F98"/>
    <w:rsid w:val="007A68C9"/>
    <w:rsid w:val="007A6A9B"/>
    <w:rsid w:val="007A72FB"/>
    <w:rsid w:val="007A7484"/>
    <w:rsid w:val="007A74E9"/>
    <w:rsid w:val="007A7C32"/>
    <w:rsid w:val="007A7C41"/>
    <w:rsid w:val="007A7DFC"/>
    <w:rsid w:val="007B0185"/>
    <w:rsid w:val="007B05D2"/>
    <w:rsid w:val="007B0A51"/>
    <w:rsid w:val="007B128E"/>
    <w:rsid w:val="007B12AF"/>
    <w:rsid w:val="007B1457"/>
    <w:rsid w:val="007B1DCA"/>
    <w:rsid w:val="007B2155"/>
    <w:rsid w:val="007B2963"/>
    <w:rsid w:val="007B2CB5"/>
    <w:rsid w:val="007B2D59"/>
    <w:rsid w:val="007B3D41"/>
    <w:rsid w:val="007B4AFC"/>
    <w:rsid w:val="007B4BEA"/>
    <w:rsid w:val="007B4D09"/>
    <w:rsid w:val="007B4D89"/>
    <w:rsid w:val="007B500C"/>
    <w:rsid w:val="007B540F"/>
    <w:rsid w:val="007B56E2"/>
    <w:rsid w:val="007B5A29"/>
    <w:rsid w:val="007B5C8D"/>
    <w:rsid w:val="007B5E39"/>
    <w:rsid w:val="007B6162"/>
    <w:rsid w:val="007B6C7C"/>
    <w:rsid w:val="007B6DEB"/>
    <w:rsid w:val="007B6FC0"/>
    <w:rsid w:val="007B7085"/>
    <w:rsid w:val="007B71F2"/>
    <w:rsid w:val="007B7284"/>
    <w:rsid w:val="007B7AC9"/>
    <w:rsid w:val="007B7AEA"/>
    <w:rsid w:val="007B7F5B"/>
    <w:rsid w:val="007C0003"/>
    <w:rsid w:val="007C008E"/>
    <w:rsid w:val="007C022E"/>
    <w:rsid w:val="007C02A2"/>
    <w:rsid w:val="007C043F"/>
    <w:rsid w:val="007C047C"/>
    <w:rsid w:val="007C0552"/>
    <w:rsid w:val="007C08A0"/>
    <w:rsid w:val="007C08B2"/>
    <w:rsid w:val="007C0B1D"/>
    <w:rsid w:val="007C18BA"/>
    <w:rsid w:val="007C1C8B"/>
    <w:rsid w:val="007C1CE1"/>
    <w:rsid w:val="007C209E"/>
    <w:rsid w:val="007C2511"/>
    <w:rsid w:val="007C26EE"/>
    <w:rsid w:val="007C317F"/>
    <w:rsid w:val="007C31D6"/>
    <w:rsid w:val="007C326C"/>
    <w:rsid w:val="007C3296"/>
    <w:rsid w:val="007C32B8"/>
    <w:rsid w:val="007C395E"/>
    <w:rsid w:val="007C3BDF"/>
    <w:rsid w:val="007C408A"/>
    <w:rsid w:val="007C44F7"/>
    <w:rsid w:val="007C47DE"/>
    <w:rsid w:val="007C4B1A"/>
    <w:rsid w:val="007C4D3B"/>
    <w:rsid w:val="007C505D"/>
    <w:rsid w:val="007C58F5"/>
    <w:rsid w:val="007C5A5C"/>
    <w:rsid w:val="007C6093"/>
    <w:rsid w:val="007C61E2"/>
    <w:rsid w:val="007C6211"/>
    <w:rsid w:val="007C62E1"/>
    <w:rsid w:val="007C6745"/>
    <w:rsid w:val="007C6965"/>
    <w:rsid w:val="007C70FA"/>
    <w:rsid w:val="007C7121"/>
    <w:rsid w:val="007C7868"/>
    <w:rsid w:val="007C7A9C"/>
    <w:rsid w:val="007C7ED7"/>
    <w:rsid w:val="007D0067"/>
    <w:rsid w:val="007D11FB"/>
    <w:rsid w:val="007D14EB"/>
    <w:rsid w:val="007D1BCB"/>
    <w:rsid w:val="007D1ED7"/>
    <w:rsid w:val="007D1FEC"/>
    <w:rsid w:val="007D20F4"/>
    <w:rsid w:val="007D30A1"/>
    <w:rsid w:val="007D3A4C"/>
    <w:rsid w:val="007D3A7B"/>
    <w:rsid w:val="007D3B08"/>
    <w:rsid w:val="007D3C7B"/>
    <w:rsid w:val="007D3D59"/>
    <w:rsid w:val="007D3E5A"/>
    <w:rsid w:val="007D3F6E"/>
    <w:rsid w:val="007D40DC"/>
    <w:rsid w:val="007D4361"/>
    <w:rsid w:val="007D51D8"/>
    <w:rsid w:val="007D535C"/>
    <w:rsid w:val="007D590C"/>
    <w:rsid w:val="007D59EB"/>
    <w:rsid w:val="007D615C"/>
    <w:rsid w:val="007D627F"/>
    <w:rsid w:val="007D63BB"/>
    <w:rsid w:val="007D646E"/>
    <w:rsid w:val="007D6519"/>
    <w:rsid w:val="007D653F"/>
    <w:rsid w:val="007D683E"/>
    <w:rsid w:val="007D6D56"/>
    <w:rsid w:val="007D6F03"/>
    <w:rsid w:val="007D6FE3"/>
    <w:rsid w:val="007D73C5"/>
    <w:rsid w:val="007D77C9"/>
    <w:rsid w:val="007D792E"/>
    <w:rsid w:val="007D7941"/>
    <w:rsid w:val="007D7973"/>
    <w:rsid w:val="007D7ECE"/>
    <w:rsid w:val="007E00B0"/>
    <w:rsid w:val="007E0712"/>
    <w:rsid w:val="007E077B"/>
    <w:rsid w:val="007E0C87"/>
    <w:rsid w:val="007E12C6"/>
    <w:rsid w:val="007E134B"/>
    <w:rsid w:val="007E16F8"/>
    <w:rsid w:val="007E19F2"/>
    <w:rsid w:val="007E1A0A"/>
    <w:rsid w:val="007E1CDE"/>
    <w:rsid w:val="007E1F8E"/>
    <w:rsid w:val="007E1FE5"/>
    <w:rsid w:val="007E21DB"/>
    <w:rsid w:val="007E2578"/>
    <w:rsid w:val="007E25F1"/>
    <w:rsid w:val="007E26D6"/>
    <w:rsid w:val="007E2804"/>
    <w:rsid w:val="007E2B42"/>
    <w:rsid w:val="007E2C9F"/>
    <w:rsid w:val="007E2DEE"/>
    <w:rsid w:val="007E3192"/>
    <w:rsid w:val="007E3980"/>
    <w:rsid w:val="007E3C5D"/>
    <w:rsid w:val="007E41C5"/>
    <w:rsid w:val="007E42CA"/>
    <w:rsid w:val="007E4409"/>
    <w:rsid w:val="007E4E36"/>
    <w:rsid w:val="007E52F7"/>
    <w:rsid w:val="007E5469"/>
    <w:rsid w:val="007E5613"/>
    <w:rsid w:val="007E5AED"/>
    <w:rsid w:val="007E5C40"/>
    <w:rsid w:val="007E5CDB"/>
    <w:rsid w:val="007E5D73"/>
    <w:rsid w:val="007E6184"/>
    <w:rsid w:val="007E6546"/>
    <w:rsid w:val="007E66C5"/>
    <w:rsid w:val="007E6983"/>
    <w:rsid w:val="007E6B22"/>
    <w:rsid w:val="007E6E72"/>
    <w:rsid w:val="007E6E8C"/>
    <w:rsid w:val="007E7081"/>
    <w:rsid w:val="007E7753"/>
    <w:rsid w:val="007E77FF"/>
    <w:rsid w:val="007E7DBD"/>
    <w:rsid w:val="007E7E8C"/>
    <w:rsid w:val="007E7E8D"/>
    <w:rsid w:val="007F0091"/>
    <w:rsid w:val="007F0244"/>
    <w:rsid w:val="007F032F"/>
    <w:rsid w:val="007F0358"/>
    <w:rsid w:val="007F038B"/>
    <w:rsid w:val="007F04EF"/>
    <w:rsid w:val="007F058F"/>
    <w:rsid w:val="007F08EC"/>
    <w:rsid w:val="007F10CF"/>
    <w:rsid w:val="007F1290"/>
    <w:rsid w:val="007F1299"/>
    <w:rsid w:val="007F173C"/>
    <w:rsid w:val="007F17F3"/>
    <w:rsid w:val="007F1A3B"/>
    <w:rsid w:val="007F1BCD"/>
    <w:rsid w:val="007F2020"/>
    <w:rsid w:val="007F223A"/>
    <w:rsid w:val="007F235F"/>
    <w:rsid w:val="007F27E2"/>
    <w:rsid w:val="007F29A8"/>
    <w:rsid w:val="007F2A20"/>
    <w:rsid w:val="007F3621"/>
    <w:rsid w:val="007F392D"/>
    <w:rsid w:val="007F3BC5"/>
    <w:rsid w:val="007F3F29"/>
    <w:rsid w:val="007F3FBF"/>
    <w:rsid w:val="007F42B0"/>
    <w:rsid w:val="007F4A7F"/>
    <w:rsid w:val="007F4F8D"/>
    <w:rsid w:val="007F534A"/>
    <w:rsid w:val="007F53B8"/>
    <w:rsid w:val="007F57F6"/>
    <w:rsid w:val="007F66F1"/>
    <w:rsid w:val="007F68F2"/>
    <w:rsid w:val="007F6FA4"/>
    <w:rsid w:val="007F7016"/>
    <w:rsid w:val="007F718B"/>
    <w:rsid w:val="007F7728"/>
    <w:rsid w:val="007F78E6"/>
    <w:rsid w:val="007F7A7B"/>
    <w:rsid w:val="007F7D62"/>
    <w:rsid w:val="007F7EA3"/>
    <w:rsid w:val="008005BA"/>
    <w:rsid w:val="0080077A"/>
    <w:rsid w:val="00800B27"/>
    <w:rsid w:val="008011B8"/>
    <w:rsid w:val="0080129D"/>
    <w:rsid w:val="008013C0"/>
    <w:rsid w:val="00801473"/>
    <w:rsid w:val="00801A77"/>
    <w:rsid w:val="0080268E"/>
    <w:rsid w:val="008027D8"/>
    <w:rsid w:val="00802919"/>
    <w:rsid w:val="00802CE5"/>
    <w:rsid w:val="00802F10"/>
    <w:rsid w:val="008030AC"/>
    <w:rsid w:val="0080366E"/>
    <w:rsid w:val="00803C04"/>
    <w:rsid w:val="008040E7"/>
    <w:rsid w:val="0080426B"/>
    <w:rsid w:val="0080484D"/>
    <w:rsid w:val="00804939"/>
    <w:rsid w:val="00804F41"/>
    <w:rsid w:val="008050CB"/>
    <w:rsid w:val="0080521B"/>
    <w:rsid w:val="008052D9"/>
    <w:rsid w:val="008052E5"/>
    <w:rsid w:val="00805CFE"/>
    <w:rsid w:val="00805DB2"/>
    <w:rsid w:val="00806219"/>
    <w:rsid w:val="00806D97"/>
    <w:rsid w:val="00806DC9"/>
    <w:rsid w:val="00806F39"/>
    <w:rsid w:val="008071CA"/>
    <w:rsid w:val="00807468"/>
    <w:rsid w:val="008075C8"/>
    <w:rsid w:val="008075FC"/>
    <w:rsid w:val="00807F11"/>
    <w:rsid w:val="00810184"/>
    <w:rsid w:val="00810798"/>
    <w:rsid w:val="00810897"/>
    <w:rsid w:val="00810A38"/>
    <w:rsid w:val="00810B49"/>
    <w:rsid w:val="00810D11"/>
    <w:rsid w:val="00810EA0"/>
    <w:rsid w:val="0081189B"/>
    <w:rsid w:val="00811CE9"/>
    <w:rsid w:val="00811F7A"/>
    <w:rsid w:val="00812174"/>
    <w:rsid w:val="008121D9"/>
    <w:rsid w:val="008122EC"/>
    <w:rsid w:val="00812334"/>
    <w:rsid w:val="00812462"/>
    <w:rsid w:val="00812564"/>
    <w:rsid w:val="00812D02"/>
    <w:rsid w:val="00812D24"/>
    <w:rsid w:val="0081306B"/>
    <w:rsid w:val="00813072"/>
    <w:rsid w:val="00813162"/>
    <w:rsid w:val="00813412"/>
    <w:rsid w:val="008139A1"/>
    <w:rsid w:val="00813E39"/>
    <w:rsid w:val="008140A2"/>
    <w:rsid w:val="00814553"/>
    <w:rsid w:val="008147C8"/>
    <w:rsid w:val="00814836"/>
    <w:rsid w:val="00814A8A"/>
    <w:rsid w:val="00814BD1"/>
    <w:rsid w:val="00814F07"/>
    <w:rsid w:val="00815088"/>
    <w:rsid w:val="008154A1"/>
    <w:rsid w:val="008156AF"/>
    <w:rsid w:val="00815714"/>
    <w:rsid w:val="00816C86"/>
    <w:rsid w:val="008171D8"/>
    <w:rsid w:val="0081749A"/>
    <w:rsid w:val="00817726"/>
    <w:rsid w:val="008178B6"/>
    <w:rsid w:val="00817BC1"/>
    <w:rsid w:val="00817D43"/>
    <w:rsid w:val="00817F46"/>
    <w:rsid w:val="00817F5C"/>
    <w:rsid w:val="0082017C"/>
    <w:rsid w:val="00820965"/>
    <w:rsid w:val="00820997"/>
    <w:rsid w:val="00820B28"/>
    <w:rsid w:val="00820F13"/>
    <w:rsid w:val="00821330"/>
    <w:rsid w:val="00821483"/>
    <w:rsid w:val="008216FB"/>
    <w:rsid w:val="008218EC"/>
    <w:rsid w:val="00821EB3"/>
    <w:rsid w:val="0082239C"/>
    <w:rsid w:val="008224DF"/>
    <w:rsid w:val="008225BA"/>
    <w:rsid w:val="008226FB"/>
    <w:rsid w:val="00822864"/>
    <w:rsid w:val="00822FA3"/>
    <w:rsid w:val="008236B8"/>
    <w:rsid w:val="00823718"/>
    <w:rsid w:val="008237F1"/>
    <w:rsid w:val="00823983"/>
    <w:rsid w:val="00823EE1"/>
    <w:rsid w:val="00824006"/>
    <w:rsid w:val="0082409D"/>
    <w:rsid w:val="008240FC"/>
    <w:rsid w:val="00824209"/>
    <w:rsid w:val="0082424B"/>
    <w:rsid w:val="008244AA"/>
    <w:rsid w:val="00824780"/>
    <w:rsid w:val="008247AE"/>
    <w:rsid w:val="008247F4"/>
    <w:rsid w:val="00824C10"/>
    <w:rsid w:val="0082524F"/>
    <w:rsid w:val="00825754"/>
    <w:rsid w:val="00825A4E"/>
    <w:rsid w:val="00826490"/>
    <w:rsid w:val="0082689E"/>
    <w:rsid w:val="00826BD3"/>
    <w:rsid w:val="00827304"/>
    <w:rsid w:val="00827341"/>
    <w:rsid w:val="0082745D"/>
    <w:rsid w:val="0082788B"/>
    <w:rsid w:val="00827C03"/>
    <w:rsid w:val="00827E54"/>
    <w:rsid w:val="00827EF8"/>
    <w:rsid w:val="00827F3F"/>
    <w:rsid w:val="0083019A"/>
    <w:rsid w:val="008301A2"/>
    <w:rsid w:val="00830567"/>
    <w:rsid w:val="00830A66"/>
    <w:rsid w:val="00831286"/>
    <w:rsid w:val="008313E7"/>
    <w:rsid w:val="00831633"/>
    <w:rsid w:val="00831A3A"/>
    <w:rsid w:val="00831A7C"/>
    <w:rsid w:val="00831ECC"/>
    <w:rsid w:val="008321A8"/>
    <w:rsid w:val="008322B1"/>
    <w:rsid w:val="008326E8"/>
    <w:rsid w:val="00832BB2"/>
    <w:rsid w:val="00833253"/>
    <w:rsid w:val="008334BC"/>
    <w:rsid w:val="008337A0"/>
    <w:rsid w:val="008339DF"/>
    <w:rsid w:val="00833B98"/>
    <w:rsid w:val="00833EA0"/>
    <w:rsid w:val="0083407F"/>
    <w:rsid w:val="008348B0"/>
    <w:rsid w:val="0083495D"/>
    <w:rsid w:val="00834F18"/>
    <w:rsid w:val="00834F25"/>
    <w:rsid w:val="008353DA"/>
    <w:rsid w:val="00835818"/>
    <w:rsid w:val="00835B0B"/>
    <w:rsid w:val="00835EDD"/>
    <w:rsid w:val="0083615A"/>
    <w:rsid w:val="008361BE"/>
    <w:rsid w:val="00836A8D"/>
    <w:rsid w:val="008373E2"/>
    <w:rsid w:val="008375DE"/>
    <w:rsid w:val="00837779"/>
    <w:rsid w:val="00837890"/>
    <w:rsid w:val="008379E7"/>
    <w:rsid w:val="00837E0E"/>
    <w:rsid w:val="00837F87"/>
    <w:rsid w:val="0084073A"/>
    <w:rsid w:val="00840829"/>
    <w:rsid w:val="00840B59"/>
    <w:rsid w:val="00840B92"/>
    <w:rsid w:val="00840C71"/>
    <w:rsid w:val="008410A3"/>
    <w:rsid w:val="00841166"/>
    <w:rsid w:val="008411BF"/>
    <w:rsid w:val="008413B5"/>
    <w:rsid w:val="008415AA"/>
    <w:rsid w:val="0084194B"/>
    <w:rsid w:val="00841B72"/>
    <w:rsid w:val="00841BA7"/>
    <w:rsid w:val="008420FA"/>
    <w:rsid w:val="0084225F"/>
    <w:rsid w:val="008423E4"/>
    <w:rsid w:val="008425AA"/>
    <w:rsid w:val="008429E5"/>
    <w:rsid w:val="00842AA5"/>
    <w:rsid w:val="00842CD0"/>
    <w:rsid w:val="00842EF2"/>
    <w:rsid w:val="008433D6"/>
    <w:rsid w:val="00843A54"/>
    <w:rsid w:val="00843AB8"/>
    <w:rsid w:val="00843B05"/>
    <w:rsid w:val="00843C07"/>
    <w:rsid w:val="00843DDB"/>
    <w:rsid w:val="00843F10"/>
    <w:rsid w:val="00844235"/>
    <w:rsid w:val="008444A6"/>
    <w:rsid w:val="0084473F"/>
    <w:rsid w:val="008447A5"/>
    <w:rsid w:val="00844AD8"/>
    <w:rsid w:val="00844D51"/>
    <w:rsid w:val="0084520A"/>
    <w:rsid w:val="00845555"/>
    <w:rsid w:val="00845830"/>
    <w:rsid w:val="00845994"/>
    <w:rsid w:val="00845E55"/>
    <w:rsid w:val="008463FA"/>
    <w:rsid w:val="00846D17"/>
    <w:rsid w:val="00846E18"/>
    <w:rsid w:val="008473D2"/>
    <w:rsid w:val="008475D9"/>
    <w:rsid w:val="0084785F"/>
    <w:rsid w:val="00847BAD"/>
    <w:rsid w:val="00847D93"/>
    <w:rsid w:val="008500AC"/>
    <w:rsid w:val="008504FF"/>
    <w:rsid w:val="00850989"/>
    <w:rsid w:val="00850DCC"/>
    <w:rsid w:val="00851589"/>
    <w:rsid w:val="0085184B"/>
    <w:rsid w:val="00851BD1"/>
    <w:rsid w:val="00851D59"/>
    <w:rsid w:val="008529AE"/>
    <w:rsid w:val="00852A42"/>
    <w:rsid w:val="00853118"/>
    <w:rsid w:val="008536DB"/>
    <w:rsid w:val="00853FEE"/>
    <w:rsid w:val="008541D3"/>
    <w:rsid w:val="008541E0"/>
    <w:rsid w:val="0085456C"/>
    <w:rsid w:val="008549AA"/>
    <w:rsid w:val="00854ADE"/>
    <w:rsid w:val="008557BA"/>
    <w:rsid w:val="00855C76"/>
    <w:rsid w:val="00855D08"/>
    <w:rsid w:val="00855E77"/>
    <w:rsid w:val="0085601D"/>
    <w:rsid w:val="00856A1B"/>
    <w:rsid w:val="00856A78"/>
    <w:rsid w:val="00856E7A"/>
    <w:rsid w:val="00857081"/>
    <w:rsid w:val="00857138"/>
    <w:rsid w:val="008574E6"/>
    <w:rsid w:val="00857C27"/>
    <w:rsid w:val="0086018B"/>
    <w:rsid w:val="008608C6"/>
    <w:rsid w:val="00860BAB"/>
    <w:rsid w:val="00860ED4"/>
    <w:rsid w:val="00860F38"/>
    <w:rsid w:val="00861105"/>
    <w:rsid w:val="008615C2"/>
    <w:rsid w:val="00861DE5"/>
    <w:rsid w:val="0086201D"/>
    <w:rsid w:val="008624D2"/>
    <w:rsid w:val="00862701"/>
    <w:rsid w:val="00862768"/>
    <w:rsid w:val="008627FD"/>
    <w:rsid w:val="00862D22"/>
    <w:rsid w:val="00862F8E"/>
    <w:rsid w:val="00863335"/>
    <w:rsid w:val="00863B64"/>
    <w:rsid w:val="00863DD7"/>
    <w:rsid w:val="00863DE6"/>
    <w:rsid w:val="008640AB"/>
    <w:rsid w:val="0086461F"/>
    <w:rsid w:val="00864840"/>
    <w:rsid w:val="00864D70"/>
    <w:rsid w:val="00864F02"/>
    <w:rsid w:val="0086500F"/>
    <w:rsid w:val="008654F3"/>
    <w:rsid w:val="00865673"/>
    <w:rsid w:val="00865905"/>
    <w:rsid w:val="00865C61"/>
    <w:rsid w:val="00865CB9"/>
    <w:rsid w:val="00865ED5"/>
    <w:rsid w:val="00866165"/>
    <w:rsid w:val="008661E2"/>
    <w:rsid w:val="008662A2"/>
    <w:rsid w:val="00866374"/>
    <w:rsid w:val="00866564"/>
    <w:rsid w:val="0086693C"/>
    <w:rsid w:val="00866A34"/>
    <w:rsid w:val="00866BDA"/>
    <w:rsid w:val="00867711"/>
    <w:rsid w:val="00867845"/>
    <w:rsid w:val="00867F5C"/>
    <w:rsid w:val="00870024"/>
    <w:rsid w:val="00870496"/>
    <w:rsid w:val="00870530"/>
    <w:rsid w:val="00870C9E"/>
    <w:rsid w:val="00870E68"/>
    <w:rsid w:val="0087116B"/>
    <w:rsid w:val="008713F4"/>
    <w:rsid w:val="00871A0A"/>
    <w:rsid w:val="00871FC6"/>
    <w:rsid w:val="0087217C"/>
    <w:rsid w:val="00872908"/>
    <w:rsid w:val="0087291A"/>
    <w:rsid w:val="00872D5B"/>
    <w:rsid w:val="00872E10"/>
    <w:rsid w:val="008731BA"/>
    <w:rsid w:val="0087330E"/>
    <w:rsid w:val="00873386"/>
    <w:rsid w:val="008739D1"/>
    <w:rsid w:val="00874552"/>
    <w:rsid w:val="0087465F"/>
    <w:rsid w:val="0087497A"/>
    <w:rsid w:val="00874A10"/>
    <w:rsid w:val="00874B4D"/>
    <w:rsid w:val="00874C3B"/>
    <w:rsid w:val="00875835"/>
    <w:rsid w:val="00875ACE"/>
    <w:rsid w:val="00875B1F"/>
    <w:rsid w:val="00875B7F"/>
    <w:rsid w:val="0087642A"/>
    <w:rsid w:val="0087660C"/>
    <w:rsid w:val="00876765"/>
    <w:rsid w:val="00876CDB"/>
    <w:rsid w:val="00876F5B"/>
    <w:rsid w:val="008775BF"/>
    <w:rsid w:val="008778AE"/>
    <w:rsid w:val="00877936"/>
    <w:rsid w:val="00877CD8"/>
    <w:rsid w:val="0088046A"/>
    <w:rsid w:val="008806EA"/>
    <w:rsid w:val="008808B4"/>
    <w:rsid w:val="00880AAB"/>
    <w:rsid w:val="00880B21"/>
    <w:rsid w:val="00881271"/>
    <w:rsid w:val="008819FE"/>
    <w:rsid w:val="00882041"/>
    <w:rsid w:val="00882653"/>
    <w:rsid w:val="0088265C"/>
    <w:rsid w:val="0088277C"/>
    <w:rsid w:val="00882AC7"/>
    <w:rsid w:val="00882CB5"/>
    <w:rsid w:val="00882D7A"/>
    <w:rsid w:val="00882E5E"/>
    <w:rsid w:val="00882E83"/>
    <w:rsid w:val="00882F4E"/>
    <w:rsid w:val="0088308E"/>
    <w:rsid w:val="0088309D"/>
    <w:rsid w:val="00883162"/>
    <w:rsid w:val="00883C94"/>
    <w:rsid w:val="00883D7D"/>
    <w:rsid w:val="0088421D"/>
    <w:rsid w:val="008842FB"/>
    <w:rsid w:val="008843AF"/>
    <w:rsid w:val="00884503"/>
    <w:rsid w:val="00884F6B"/>
    <w:rsid w:val="008851EA"/>
    <w:rsid w:val="00885CEB"/>
    <w:rsid w:val="00885E3D"/>
    <w:rsid w:val="00885EB2"/>
    <w:rsid w:val="0088625B"/>
    <w:rsid w:val="00886499"/>
    <w:rsid w:val="00886AAB"/>
    <w:rsid w:val="00886DE9"/>
    <w:rsid w:val="0088793E"/>
    <w:rsid w:val="00887A0A"/>
    <w:rsid w:val="00887A49"/>
    <w:rsid w:val="00887C5E"/>
    <w:rsid w:val="008900E0"/>
    <w:rsid w:val="008902FA"/>
    <w:rsid w:val="008903EB"/>
    <w:rsid w:val="00890AEF"/>
    <w:rsid w:val="00890F4B"/>
    <w:rsid w:val="008911C9"/>
    <w:rsid w:val="0089159D"/>
    <w:rsid w:val="008916BC"/>
    <w:rsid w:val="008916DA"/>
    <w:rsid w:val="00891880"/>
    <w:rsid w:val="00891C49"/>
    <w:rsid w:val="00891CCE"/>
    <w:rsid w:val="00891DA3"/>
    <w:rsid w:val="00892015"/>
    <w:rsid w:val="008923E2"/>
    <w:rsid w:val="0089249E"/>
    <w:rsid w:val="008928E2"/>
    <w:rsid w:val="00892943"/>
    <w:rsid w:val="00892F3E"/>
    <w:rsid w:val="00893339"/>
    <w:rsid w:val="008934FB"/>
    <w:rsid w:val="0089374E"/>
    <w:rsid w:val="008937DE"/>
    <w:rsid w:val="00893AA3"/>
    <w:rsid w:val="00893BF3"/>
    <w:rsid w:val="00893F03"/>
    <w:rsid w:val="00893F34"/>
    <w:rsid w:val="008940C6"/>
    <w:rsid w:val="00894428"/>
    <w:rsid w:val="00894868"/>
    <w:rsid w:val="008948DD"/>
    <w:rsid w:val="008955F0"/>
    <w:rsid w:val="0089581F"/>
    <w:rsid w:val="0089593A"/>
    <w:rsid w:val="00895B2C"/>
    <w:rsid w:val="00895EFB"/>
    <w:rsid w:val="00896211"/>
    <w:rsid w:val="008963F4"/>
    <w:rsid w:val="00896668"/>
    <w:rsid w:val="00896867"/>
    <w:rsid w:val="00896B7B"/>
    <w:rsid w:val="00896BED"/>
    <w:rsid w:val="008974CC"/>
    <w:rsid w:val="00897642"/>
    <w:rsid w:val="008977D8"/>
    <w:rsid w:val="00897912"/>
    <w:rsid w:val="008979B8"/>
    <w:rsid w:val="00897C2E"/>
    <w:rsid w:val="00897E8F"/>
    <w:rsid w:val="008A1160"/>
    <w:rsid w:val="008A1360"/>
    <w:rsid w:val="008A138C"/>
    <w:rsid w:val="008A155E"/>
    <w:rsid w:val="008A15E3"/>
    <w:rsid w:val="008A1955"/>
    <w:rsid w:val="008A1DEA"/>
    <w:rsid w:val="008A1EB8"/>
    <w:rsid w:val="008A1F70"/>
    <w:rsid w:val="008A2016"/>
    <w:rsid w:val="008A2774"/>
    <w:rsid w:val="008A27C3"/>
    <w:rsid w:val="008A28EA"/>
    <w:rsid w:val="008A2916"/>
    <w:rsid w:val="008A2B14"/>
    <w:rsid w:val="008A2F3C"/>
    <w:rsid w:val="008A3181"/>
    <w:rsid w:val="008A34CB"/>
    <w:rsid w:val="008A3760"/>
    <w:rsid w:val="008A3833"/>
    <w:rsid w:val="008A3A0E"/>
    <w:rsid w:val="008A3D03"/>
    <w:rsid w:val="008A3E35"/>
    <w:rsid w:val="008A4206"/>
    <w:rsid w:val="008A4267"/>
    <w:rsid w:val="008A4346"/>
    <w:rsid w:val="008A44CA"/>
    <w:rsid w:val="008A4A09"/>
    <w:rsid w:val="008A4F26"/>
    <w:rsid w:val="008A501D"/>
    <w:rsid w:val="008A59A9"/>
    <w:rsid w:val="008A5C81"/>
    <w:rsid w:val="008A5D92"/>
    <w:rsid w:val="008A5EFF"/>
    <w:rsid w:val="008A604E"/>
    <w:rsid w:val="008A6B0F"/>
    <w:rsid w:val="008A6DAC"/>
    <w:rsid w:val="008A6DD9"/>
    <w:rsid w:val="008A7237"/>
    <w:rsid w:val="008A7C6B"/>
    <w:rsid w:val="008A7CF0"/>
    <w:rsid w:val="008A7F97"/>
    <w:rsid w:val="008B005A"/>
    <w:rsid w:val="008B05AC"/>
    <w:rsid w:val="008B07C5"/>
    <w:rsid w:val="008B0AE1"/>
    <w:rsid w:val="008B0FCC"/>
    <w:rsid w:val="008B1401"/>
    <w:rsid w:val="008B1430"/>
    <w:rsid w:val="008B14B4"/>
    <w:rsid w:val="008B1B5C"/>
    <w:rsid w:val="008B212D"/>
    <w:rsid w:val="008B260A"/>
    <w:rsid w:val="008B2875"/>
    <w:rsid w:val="008B2AA9"/>
    <w:rsid w:val="008B2C84"/>
    <w:rsid w:val="008B2D02"/>
    <w:rsid w:val="008B2DDE"/>
    <w:rsid w:val="008B2F0A"/>
    <w:rsid w:val="008B2FF2"/>
    <w:rsid w:val="008B304C"/>
    <w:rsid w:val="008B30F7"/>
    <w:rsid w:val="008B37F5"/>
    <w:rsid w:val="008B3E0F"/>
    <w:rsid w:val="008B3F70"/>
    <w:rsid w:val="008B3F92"/>
    <w:rsid w:val="008B414E"/>
    <w:rsid w:val="008B44BA"/>
    <w:rsid w:val="008B4D1B"/>
    <w:rsid w:val="008B4DB5"/>
    <w:rsid w:val="008B4EFB"/>
    <w:rsid w:val="008B51ED"/>
    <w:rsid w:val="008B57EF"/>
    <w:rsid w:val="008B598A"/>
    <w:rsid w:val="008B59E5"/>
    <w:rsid w:val="008B5A5F"/>
    <w:rsid w:val="008B5C47"/>
    <w:rsid w:val="008B5CF7"/>
    <w:rsid w:val="008B664B"/>
    <w:rsid w:val="008B68A7"/>
    <w:rsid w:val="008B6BD1"/>
    <w:rsid w:val="008B6EFA"/>
    <w:rsid w:val="008B6F7F"/>
    <w:rsid w:val="008B7A39"/>
    <w:rsid w:val="008C02BC"/>
    <w:rsid w:val="008C03BD"/>
    <w:rsid w:val="008C0406"/>
    <w:rsid w:val="008C0830"/>
    <w:rsid w:val="008C0BFC"/>
    <w:rsid w:val="008C0C03"/>
    <w:rsid w:val="008C0FA9"/>
    <w:rsid w:val="008C100B"/>
    <w:rsid w:val="008C1130"/>
    <w:rsid w:val="008C1155"/>
    <w:rsid w:val="008C1743"/>
    <w:rsid w:val="008C1BDB"/>
    <w:rsid w:val="008C27C0"/>
    <w:rsid w:val="008C2A39"/>
    <w:rsid w:val="008C3033"/>
    <w:rsid w:val="008C3055"/>
    <w:rsid w:val="008C321A"/>
    <w:rsid w:val="008C32C2"/>
    <w:rsid w:val="008C33F2"/>
    <w:rsid w:val="008C3576"/>
    <w:rsid w:val="008C39A2"/>
    <w:rsid w:val="008C3A2A"/>
    <w:rsid w:val="008C3ABF"/>
    <w:rsid w:val="008C3AF1"/>
    <w:rsid w:val="008C3E86"/>
    <w:rsid w:val="008C4006"/>
    <w:rsid w:val="008C4195"/>
    <w:rsid w:val="008C48CC"/>
    <w:rsid w:val="008C48ED"/>
    <w:rsid w:val="008C4D3B"/>
    <w:rsid w:val="008C4EFE"/>
    <w:rsid w:val="008C508D"/>
    <w:rsid w:val="008C523D"/>
    <w:rsid w:val="008C525E"/>
    <w:rsid w:val="008C564A"/>
    <w:rsid w:val="008C5690"/>
    <w:rsid w:val="008C5985"/>
    <w:rsid w:val="008C5F3D"/>
    <w:rsid w:val="008C6555"/>
    <w:rsid w:val="008C6A8D"/>
    <w:rsid w:val="008C6B05"/>
    <w:rsid w:val="008C7117"/>
    <w:rsid w:val="008C7171"/>
    <w:rsid w:val="008C7282"/>
    <w:rsid w:val="008C751F"/>
    <w:rsid w:val="008C76AC"/>
    <w:rsid w:val="008C76C3"/>
    <w:rsid w:val="008C7C51"/>
    <w:rsid w:val="008C7E4D"/>
    <w:rsid w:val="008C7E55"/>
    <w:rsid w:val="008D00A6"/>
    <w:rsid w:val="008D07B2"/>
    <w:rsid w:val="008D09B9"/>
    <w:rsid w:val="008D152D"/>
    <w:rsid w:val="008D1719"/>
    <w:rsid w:val="008D1844"/>
    <w:rsid w:val="008D1F85"/>
    <w:rsid w:val="008D2A7E"/>
    <w:rsid w:val="008D2C46"/>
    <w:rsid w:val="008D3295"/>
    <w:rsid w:val="008D33AA"/>
    <w:rsid w:val="008D3761"/>
    <w:rsid w:val="008D3CC9"/>
    <w:rsid w:val="008D3E0B"/>
    <w:rsid w:val="008D3E52"/>
    <w:rsid w:val="008D3FD3"/>
    <w:rsid w:val="008D4415"/>
    <w:rsid w:val="008D4613"/>
    <w:rsid w:val="008D4843"/>
    <w:rsid w:val="008D4B11"/>
    <w:rsid w:val="008D4D6A"/>
    <w:rsid w:val="008D4D98"/>
    <w:rsid w:val="008D4F5B"/>
    <w:rsid w:val="008D517B"/>
    <w:rsid w:val="008D595E"/>
    <w:rsid w:val="008D5E51"/>
    <w:rsid w:val="008D5ED2"/>
    <w:rsid w:val="008D6288"/>
    <w:rsid w:val="008D66DA"/>
    <w:rsid w:val="008D6D91"/>
    <w:rsid w:val="008D6FDD"/>
    <w:rsid w:val="008D7057"/>
    <w:rsid w:val="008D7109"/>
    <w:rsid w:val="008D7B76"/>
    <w:rsid w:val="008D7F7E"/>
    <w:rsid w:val="008E00A4"/>
    <w:rsid w:val="008E0610"/>
    <w:rsid w:val="008E0697"/>
    <w:rsid w:val="008E0786"/>
    <w:rsid w:val="008E0825"/>
    <w:rsid w:val="008E0A4C"/>
    <w:rsid w:val="008E0B8C"/>
    <w:rsid w:val="008E0EFB"/>
    <w:rsid w:val="008E0F09"/>
    <w:rsid w:val="008E1721"/>
    <w:rsid w:val="008E1948"/>
    <w:rsid w:val="008E1A5C"/>
    <w:rsid w:val="008E1A98"/>
    <w:rsid w:val="008E1BB1"/>
    <w:rsid w:val="008E1D07"/>
    <w:rsid w:val="008E1E08"/>
    <w:rsid w:val="008E1E31"/>
    <w:rsid w:val="008E1EFA"/>
    <w:rsid w:val="008E27B0"/>
    <w:rsid w:val="008E2A76"/>
    <w:rsid w:val="008E2DAA"/>
    <w:rsid w:val="008E2F70"/>
    <w:rsid w:val="008E32AD"/>
    <w:rsid w:val="008E33CC"/>
    <w:rsid w:val="008E3725"/>
    <w:rsid w:val="008E383D"/>
    <w:rsid w:val="008E3BDD"/>
    <w:rsid w:val="008E3C93"/>
    <w:rsid w:val="008E40C7"/>
    <w:rsid w:val="008E4185"/>
    <w:rsid w:val="008E441A"/>
    <w:rsid w:val="008E492E"/>
    <w:rsid w:val="008E4A4B"/>
    <w:rsid w:val="008E4B82"/>
    <w:rsid w:val="008E4BE6"/>
    <w:rsid w:val="008E4E8D"/>
    <w:rsid w:val="008E50C9"/>
    <w:rsid w:val="008E5130"/>
    <w:rsid w:val="008E5159"/>
    <w:rsid w:val="008E5495"/>
    <w:rsid w:val="008E54CC"/>
    <w:rsid w:val="008E5F22"/>
    <w:rsid w:val="008E60E3"/>
    <w:rsid w:val="008E6179"/>
    <w:rsid w:val="008E664E"/>
    <w:rsid w:val="008E67E5"/>
    <w:rsid w:val="008E6A8D"/>
    <w:rsid w:val="008E6B0E"/>
    <w:rsid w:val="008E7072"/>
    <w:rsid w:val="008E7742"/>
    <w:rsid w:val="008E77E5"/>
    <w:rsid w:val="008E78CB"/>
    <w:rsid w:val="008E7AA5"/>
    <w:rsid w:val="008E7B7A"/>
    <w:rsid w:val="008E7C1D"/>
    <w:rsid w:val="008E7FAC"/>
    <w:rsid w:val="008F024E"/>
    <w:rsid w:val="008F039C"/>
    <w:rsid w:val="008F0BC5"/>
    <w:rsid w:val="008F0CAB"/>
    <w:rsid w:val="008F0FED"/>
    <w:rsid w:val="008F1134"/>
    <w:rsid w:val="008F118A"/>
    <w:rsid w:val="008F139A"/>
    <w:rsid w:val="008F1474"/>
    <w:rsid w:val="008F14E4"/>
    <w:rsid w:val="008F15B9"/>
    <w:rsid w:val="008F15EB"/>
    <w:rsid w:val="008F1619"/>
    <w:rsid w:val="008F1A8F"/>
    <w:rsid w:val="008F1A9E"/>
    <w:rsid w:val="008F1BF8"/>
    <w:rsid w:val="008F1FE2"/>
    <w:rsid w:val="008F201C"/>
    <w:rsid w:val="008F21F5"/>
    <w:rsid w:val="008F22CF"/>
    <w:rsid w:val="008F29B5"/>
    <w:rsid w:val="008F29CC"/>
    <w:rsid w:val="008F2C37"/>
    <w:rsid w:val="008F30FC"/>
    <w:rsid w:val="008F3147"/>
    <w:rsid w:val="008F32F1"/>
    <w:rsid w:val="008F3985"/>
    <w:rsid w:val="008F3CE2"/>
    <w:rsid w:val="008F3ED5"/>
    <w:rsid w:val="008F4747"/>
    <w:rsid w:val="008F4821"/>
    <w:rsid w:val="008F4AD0"/>
    <w:rsid w:val="008F4B1E"/>
    <w:rsid w:val="008F4B22"/>
    <w:rsid w:val="008F4F55"/>
    <w:rsid w:val="008F62A6"/>
    <w:rsid w:val="008F6625"/>
    <w:rsid w:val="008F6782"/>
    <w:rsid w:val="008F7F12"/>
    <w:rsid w:val="00900B3C"/>
    <w:rsid w:val="00900F5C"/>
    <w:rsid w:val="00901375"/>
    <w:rsid w:val="00901659"/>
    <w:rsid w:val="00901769"/>
    <w:rsid w:val="009018F0"/>
    <w:rsid w:val="00901FD1"/>
    <w:rsid w:val="00901FE8"/>
    <w:rsid w:val="00902A23"/>
    <w:rsid w:val="00902DAB"/>
    <w:rsid w:val="00902E4A"/>
    <w:rsid w:val="00902EC7"/>
    <w:rsid w:val="00902FD3"/>
    <w:rsid w:val="009032AF"/>
    <w:rsid w:val="009032D4"/>
    <w:rsid w:val="00903564"/>
    <w:rsid w:val="00903A4C"/>
    <w:rsid w:val="00903BBC"/>
    <w:rsid w:val="00903C7E"/>
    <w:rsid w:val="00903D0C"/>
    <w:rsid w:val="009041AD"/>
    <w:rsid w:val="00904307"/>
    <w:rsid w:val="00904477"/>
    <w:rsid w:val="009045CD"/>
    <w:rsid w:val="009046AA"/>
    <w:rsid w:val="00904B05"/>
    <w:rsid w:val="00904B89"/>
    <w:rsid w:val="00904C47"/>
    <w:rsid w:val="0090516C"/>
    <w:rsid w:val="00905A61"/>
    <w:rsid w:val="00905C87"/>
    <w:rsid w:val="00905D6A"/>
    <w:rsid w:val="00905DCA"/>
    <w:rsid w:val="00906161"/>
    <w:rsid w:val="0090617E"/>
    <w:rsid w:val="0090654A"/>
    <w:rsid w:val="009068A2"/>
    <w:rsid w:val="00906C97"/>
    <w:rsid w:val="00906F84"/>
    <w:rsid w:val="0090702C"/>
    <w:rsid w:val="009075C5"/>
    <w:rsid w:val="0090766B"/>
    <w:rsid w:val="00907BBE"/>
    <w:rsid w:val="00907C1A"/>
    <w:rsid w:val="00907C24"/>
    <w:rsid w:val="00907E03"/>
    <w:rsid w:val="00910621"/>
    <w:rsid w:val="00910B91"/>
    <w:rsid w:val="00910CA6"/>
    <w:rsid w:val="00910D21"/>
    <w:rsid w:val="00910D7C"/>
    <w:rsid w:val="00910DC5"/>
    <w:rsid w:val="00910E44"/>
    <w:rsid w:val="00910E5D"/>
    <w:rsid w:val="00911192"/>
    <w:rsid w:val="0091151C"/>
    <w:rsid w:val="0091155E"/>
    <w:rsid w:val="00911842"/>
    <w:rsid w:val="009118A3"/>
    <w:rsid w:val="00911A7D"/>
    <w:rsid w:val="0091206C"/>
    <w:rsid w:val="00912204"/>
    <w:rsid w:val="0091243D"/>
    <w:rsid w:val="009125A0"/>
    <w:rsid w:val="0091278E"/>
    <w:rsid w:val="009129E1"/>
    <w:rsid w:val="00912C1A"/>
    <w:rsid w:val="00912FB8"/>
    <w:rsid w:val="00913178"/>
    <w:rsid w:val="0091341C"/>
    <w:rsid w:val="00913514"/>
    <w:rsid w:val="0091351E"/>
    <w:rsid w:val="00913755"/>
    <w:rsid w:val="009137FA"/>
    <w:rsid w:val="009138BB"/>
    <w:rsid w:val="00913AE6"/>
    <w:rsid w:val="00913CE7"/>
    <w:rsid w:val="00913ED0"/>
    <w:rsid w:val="0091481C"/>
    <w:rsid w:val="00914D24"/>
    <w:rsid w:val="009153CE"/>
    <w:rsid w:val="00915520"/>
    <w:rsid w:val="00915594"/>
    <w:rsid w:val="009158C4"/>
    <w:rsid w:val="00915FC6"/>
    <w:rsid w:val="00916164"/>
    <w:rsid w:val="00916251"/>
    <w:rsid w:val="00916283"/>
    <w:rsid w:val="0091639B"/>
    <w:rsid w:val="009166E8"/>
    <w:rsid w:val="009167F8"/>
    <w:rsid w:val="00916C2A"/>
    <w:rsid w:val="00916F10"/>
    <w:rsid w:val="009170EA"/>
    <w:rsid w:val="009171CD"/>
    <w:rsid w:val="009172C9"/>
    <w:rsid w:val="00917570"/>
    <w:rsid w:val="00917788"/>
    <w:rsid w:val="00917ACF"/>
    <w:rsid w:val="00917D81"/>
    <w:rsid w:val="009202FE"/>
    <w:rsid w:val="00920841"/>
    <w:rsid w:val="009215DA"/>
    <w:rsid w:val="00921FE4"/>
    <w:rsid w:val="00922248"/>
    <w:rsid w:val="0092244A"/>
    <w:rsid w:val="00922B6B"/>
    <w:rsid w:val="00922CB0"/>
    <w:rsid w:val="00922CB9"/>
    <w:rsid w:val="00922CEA"/>
    <w:rsid w:val="00922E57"/>
    <w:rsid w:val="009232AB"/>
    <w:rsid w:val="009235B5"/>
    <w:rsid w:val="00923AB6"/>
    <w:rsid w:val="00923FC3"/>
    <w:rsid w:val="00924134"/>
    <w:rsid w:val="0092424D"/>
    <w:rsid w:val="0092433E"/>
    <w:rsid w:val="00924DC3"/>
    <w:rsid w:val="00924EF2"/>
    <w:rsid w:val="009250BC"/>
    <w:rsid w:val="009251CE"/>
    <w:rsid w:val="00925306"/>
    <w:rsid w:val="009253A5"/>
    <w:rsid w:val="009255E7"/>
    <w:rsid w:val="00925D9D"/>
    <w:rsid w:val="0092690C"/>
    <w:rsid w:val="00926BC1"/>
    <w:rsid w:val="00926C77"/>
    <w:rsid w:val="00926CA0"/>
    <w:rsid w:val="00926D92"/>
    <w:rsid w:val="00926FC6"/>
    <w:rsid w:val="00927541"/>
    <w:rsid w:val="009275C7"/>
    <w:rsid w:val="009278E9"/>
    <w:rsid w:val="00927AA1"/>
    <w:rsid w:val="00930744"/>
    <w:rsid w:val="00930E08"/>
    <w:rsid w:val="00930EB7"/>
    <w:rsid w:val="00930FA4"/>
    <w:rsid w:val="009311AD"/>
    <w:rsid w:val="00931290"/>
    <w:rsid w:val="00931810"/>
    <w:rsid w:val="00931D86"/>
    <w:rsid w:val="00931DEA"/>
    <w:rsid w:val="00931EAA"/>
    <w:rsid w:val="009324EF"/>
    <w:rsid w:val="0093250C"/>
    <w:rsid w:val="009325F0"/>
    <w:rsid w:val="0093287C"/>
    <w:rsid w:val="00932C26"/>
    <w:rsid w:val="00932EA7"/>
    <w:rsid w:val="00932FB2"/>
    <w:rsid w:val="00933FC4"/>
    <w:rsid w:val="00934522"/>
    <w:rsid w:val="00934991"/>
    <w:rsid w:val="00934D7A"/>
    <w:rsid w:val="009351B7"/>
    <w:rsid w:val="00935274"/>
    <w:rsid w:val="00935381"/>
    <w:rsid w:val="009353F7"/>
    <w:rsid w:val="0093559B"/>
    <w:rsid w:val="00935B73"/>
    <w:rsid w:val="00935BD1"/>
    <w:rsid w:val="00935C60"/>
    <w:rsid w:val="00935F97"/>
    <w:rsid w:val="00936035"/>
    <w:rsid w:val="00936134"/>
    <w:rsid w:val="00936277"/>
    <w:rsid w:val="00936986"/>
    <w:rsid w:val="00936EFD"/>
    <w:rsid w:val="009371A3"/>
    <w:rsid w:val="009374B5"/>
    <w:rsid w:val="009374DC"/>
    <w:rsid w:val="00937654"/>
    <w:rsid w:val="00937FB2"/>
    <w:rsid w:val="0094000E"/>
    <w:rsid w:val="009402A8"/>
    <w:rsid w:val="00940735"/>
    <w:rsid w:val="00940EE7"/>
    <w:rsid w:val="00940F0C"/>
    <w:rsid w:val="009410DC"/>
    <w:rsid w:val="0094138C"/>
    <w:rsid w:val="009413F5"/>
    <w:rsid w:val="00941CBA"/>
    <w:rsid w:val="00941CBC"/>
    <w:rsid w:val="0094282D"/>
    <w:rsid w:val="00942AB6"/>
    <w:rsid w:val="00942BEE"/>
    <w:rsid w:val="00942C2A"/>
    <w:rsid w:val="00942D23"/>
    <w:rsid w:val="00942D71"/>
    <w:rsid w:val="00942DAB"/>
    <w:rsid w:val="00942EBA"/>
    <w:rsid w:val="009432AB"/>
    <w:rsid w:val="009434CA"/>
    <w:rsid w:val="00943775"/>
    <w:rsid w:val="009439A8"/>
    <w:rsid w:val="00943ABE"/>
    <w:rsid w:val="00943DA1"/>
    <w:rsid w:val="00943EFD"/>
    <w:rsid w:val="00944272"/>
    <w:rsid w:val="00944315"/>
    <w:rsid w:val="009447F5"/>
    <w:rsid w:val="009447F7"/>
    <w:rsid w:val="00944AA0"/>
    <w:rsid w:val="00944C1A"/>
    <w:rsid w:val="009451A6"/>
    <w:rsid w:val="009459C8"/>
    <w:rsid w:val="00945FF3"/>
    <w:rsid w:val="009460B5"/>
    <w:rsid w:val="00946381"/>
    <w:rsid w:val="009466B7"/>
    <w:rsid w:val="00946BFB"/>
    <w:rsid w:val="00946CC4"/>
    <w:rsid w:val="00946E39"/>
    <w:rsid w:val="00946E79"/>
    <w:rsid w:val="00947692"/>
    <w:rsid w:val="00947A95"/>
    <w:rsid w:val="00947B97"/>
    <w:rsid w:val="00947F50"/>
    <w:rsid w:val="00950202"/>
    <w:rsid w:val="009504B3"/>
    <w:rsid w:val="009506F3"/>
    <w:rsid w:val="009507C0"/>
    <w:rsid w:val="009507D2"/>
    <w:rsid w:val="0095084F"/>
    <w:rsid w:val="0095085F"/>
    <w:rsid w:val="00950AA0"/>
    <w:rsid w:val="00950D98"/>
    <w:rsid w:val="009510B5"/>
    <w:rsid w:val="009513BA"/>
    <w:rsid w:val="0095149F"/>
    <w:rsid w:val="009517A5"/>
    <w:rsid w:val="00951E65"/>
    <w:rsid w:val="00951FAA"/>
    <w:rsid w:val="0095208E"/>
    <w:rsid w:val="00952373"/>
    <w:rsid w:val="00952574"/>
    <w:rsid w:val="00953030"/>
    <w:rsid w:val="0095309D"/>
    <w:rsid w:val="00953236"/>
    <w:rsid w:val="009536AE"/>
    <w:rsid w:val="009537A6"/>
    <w:rsid w:val="009537CE"/>
    <w:rsid w:val="009538ED"/>
    <w:rsid w:val="00953911"/>
    <w:rsid w:val="00953D91"/>
    <w:rsid w:val="00953E09"/>
    <w:rsid w:val="00953ECF"/>
    <w:rsid w:val="0095411E"/>
    <w:rsid w:val="0095423C"/>
    <w:rsid w:val="00954C57"/>
    <w:rsid w:val="00954D1B"/>
    <w:rsid w:val="009550E7"/>
    <w:rsid w:val="0095513E"/>
    <w:rsid w:val="00955387"/>
    <w:rsid w:val="009558CC"/>
    <w:rsid w:val="00955912"/>
    <w:rsid w:val="00955A62"/>
    <w:rsid w:val="00955B5B"/>
    <w:rsid w:val="00956211"/>
    <w:rsid w:val="0095624C"/>
    <w:rsid w:val="0095655C"/>
    <w:rsid w:val="009566D8"/>
    <w:rsid w:val="00956978"/>
    <w:rsid w:val="009569E2"/>
    <w:rsid w:val="00956D25"/>
    <w:rsid w:val="00957068"/>
    <w:rsid w:val="009573C0"/>
    <w:rsid w:val="0095757D"/>
    <w:rsid w:val="009576FB"/>
    <w:rsid w:val="00957821"/>
    <w:rsid w:val="00957ED5"/>
    <w:rsid w:val="009600AF"/>
    <w:rsid w:val="00960269"/>
    <w:rsid w:val="00960514"/>
    <w:rsid w:val="00960A17"/>
    <w:rsid w:val="00960D7B"/>
    <w:rsid w:val="0096114A"/>
    <w:rsid w:val="00961739"/>
    <w:rsid w:val="009618A1"/>
    <w:rsid w:val="00961A3F"/>
    <w:rsid w:val="00961B89"/>
    <w:rsid w:val="00961FCA"/>
    <w:rsid w:val="009624AB"/>
    <w:rsid w:val="0096254A"/>
    <w:rsid w:val="0096281E"/>
    <w:rsid w:val="00962F90"/>
    <w:rsid w:val="00963475"/>
    <w:rsid w:val="009635FC"/>
    <w:rsid w:val="009636EB"/>
    <w:rsid w:val="00963965"/>
    <w:rsid w:val="00963968"/>
    <w:rsid w:val="00963BE5"/>
    <w:rsid w:val="00963C23"/>
    <w:rsid w:val="00963CF0"/>
    <w:rsid w:val="0096461B"/>
    <w:rsid w:val="0096492C"/>
    <w:rsid w:val="00964DB4"/>
    <w:rsid w:val="00964F0F"/>
    <w:rsid w:val="00965131"/>
    <w:rsid w:val="00965289"/>
    <w:rsid w:val="0096532D"/>
    <w:rsid w:val="009655F2"/>
    <w:rsid w:val="009656E7"/>
    <w:rsid w:val="00965902"/>
    <w:rsid w:val="00965A96"/>
    <w:rsid w:val="00965B8B"/>
    <w:rsid w:val="00965CB5"/>
    <w:rsid w:val="00965D54"/>
    <w:rsid w:val="00966061"/>
    <w:rsid w:val="00966299"/>
    <w:rsid w:val="00966782"/>
    <w:rsid w:val="009672A1"/>
    <w:rsid w:val="00967931"/>
    <w:rsid w:val="00967A02"/>
    <w:rsid w:val="00967AEE"/>
    <w:rsid w:val="00967BA7"/>
    <w:rsid w:val="00967C59"/>
    <w:rsid w:val="00967DB6"/>
    <w:rsid w:val="00970132"/>
    <w:rsid w:val="009702E3"/>
    <w:rsid w:val="009704DA"/>
    <w:rsid w:val="00970B12"/>
    <w:rsid w:val="00970BB7"/>
    <w:rsid w:val="00970C07"/>
    <w:rsid w:val="00970DC6"/>
    <w:rsid w:val="00970F39"/>
    <w:rsid w:val="009711F3"/>
    <w:rsid w:val="0097126B"/>
    <w:rsid w:val="00971730"/>
    <w:rsid w:val="00971E51"/>
    <w:rsid w:val="009727D5"/>
    <w:rsid w:val="009729C5"/>
    <w:rsid w:val="00972F11"/>
    <w:rsid w:val="00972F7F"/>
    <w:rsid w:val="009731F7"/>
    <w:rsid w:val="00973402"/>
    <w:rsid w:val="00973AA6"/>
    <w:rsid w:val="00973D9C"/>
    <w:rsid w:val="00974017"/>
    <w:rsid w:val="00974183"/>
    <w:rsid w:val="009741B2"/>
    <w:rsid w:val="009741D0"/>
    <w:rsid w:val="00974373"/>
    <w:rsid w:val="009745BB"/>
    <w:rsid w:val="009746A6"/>
    <w:rsid w:val="00974AE4"/>
    <w:rsid w:val="00974BAC"/>
    <w:rsid w:val="00974D7D"/>
    <w:rsid w:val="00974FC0"/>
    <w:rsid w:val="00975126"/>
    <w:rsid w:val="009755A5"/>
    <w:rsid w:val="00975853"/>
    <w:rsid w:val="00975C58"/>
    <w:rsid w:val="00975E50"/>
    <w:rsid w:val="00976464"/>
    <w:rsid w:val="00976613"/>
    <w:rsid w:val="0097678A"/>
    <w:rsid w:val="0097695B"/>
    <w:rsid w:val="00976D9D"/>
    <w:rsid w:val="009770E2"/>
    <w:rsid w:val="0097714C"/>
    <w:rsid w:val="00977AC2"/>
    <w:rsid w:val="00977C91"/>
    <w:rsid w:val="00980023"/>
    <w:rsid w:val="00980090"/>
    <w:rsid w:val="009803CB"/>
    <w:rsid w:val="0098065A"/>
    <w:rsid w:val="009806E7"/>
    <w:rsid w:val="009810F2"/>
    <w:rsid w:val="0098188C"/>
    <w:rsid w:val="00982120"/>
    <w:rsid w:val="00982727"/>
    <w:rsid w:val="0098274F"/>
    <w:rsid w:val="009828C3"/>
    <w:rsid w:val="00982F37"/>
    <w:rsid w:val="00983062"/>
    <w:rsid w:val="009837B5"/>
    <w:rsid w:val="00983AF9"/>
    <w:rsid w:val="00983C59"/>
    <w:rsid w:val="00983D75"/>
    <w:rsid w:val="00984108"/>
    <w:rsid w:val="00984462"/>
    <w:rsid w:val="0098467C"/>
    <w:rsid w:val="00984829"/>
    <w:rsid w:val="00984B52"/>
    <w:rsid w:val="009850C4"/>
    <w:rsid w:val="009858E2"/>
    <w:rsid w:val="009858FB"/>
    <w:rsid w:val="009859BC"/>
    <w:rsid w:val="00985BA5"/>
    <w:rsid w:val="0098605A"/>
    <w:rsid w:val="00986068"/>
    <w:rsid w:val="00986084"/>
    <w:rsid w:val="0098636F"/>
    <w:rsid w:val="0098677E"/>
    <w:rsid w:val="009868D3"/>
    <w:rsid w:val="00986A0E"/>
    <w:rsid w:val="0098703A"/>
    <w:rsid w:val="00987847"/>
    <w:rsid w:val="00987B69"/>
    <w:rsid w:val="00987D19"/>
    <w:rsid w:val="00987D59"/>
    <w:rsid w:val="00987E29"/>
    <w:rsid w:val="00990321"/>
    <w:rsid w:val="00990366"/>
    <w:rsid w:val="0099084D"/>
    <w:rsid w:val="00990900"/>
    <w:rsid w:val="00990A0C"/>
    <w:rsid w:val="00990A59"/>
    <w:rsid w:val="00990C33"/>
    <w:rsid w:val="00991462"/>
    <w:rsid w:val="00991528"/>
    <w:rsid w:val="009919EB"/>
    <w:rsid w:val="00991C54"/>
    <w:rsid w:val="00991D95"/>
    <w:rsid w:val="00991DDA"/>
    <w:rsid w:val="00992121"/>
    <w:rsid w:val="00992202"/>
    <w:rsid w:val="009926B9"/>
    <w:rsid w:val="00992900"/>
    <w:rsid w:val="009929DD"/>
    <w:rsid w:val="00992FF5"/>
    <w:rsid w:val="0099323A"/>
    <w:rsid w:val="0099338B"/>
    <w:rsid w:val="009936D0"/>
    <w:rsid w:val="0099380F"/>
    <w:rsid w:val="009938A5"/>
    <w:rsid w:val="009944F7"/>
    <w:rsid w:val="0099488C"/>
    <w:rsid w:val="00994D0A"/>
    <w:rsid w:val="0099528C"/>
    <w:rsid w:val="009952A7"/>
    <w:rsid w:val="00995A40"/>
    <w:rsid w:val="00995B9D"/>
    <w:rsid w:val="00995D6E"/>
    <w:rsid w:val="00996304"/>
    <w:rsid w:val="009963DE"/>
    <w:rsid w:val="00996531"/>
    <w:rsid w:val="00996F1E"/>
    <w:rsid w:val="00997184"/>
    <w:rsid w:val="009972F3"/>
    <w:rsid w:val="009974E9"/>
    <w:rsid w:val="00997A52"/>
    <w:rsid w:val="00997B2A"/>
    <w:rsid w:val="00997CEA"/>
    <w:rsid w:val="00997DBC"/>
    <w:rsid w:val="00997E43"/>
    <w:rsid w:val="00997E7D"/>
    <w:rsid w:val="009A012D"/>
    <w:rsid w:val="009A0434"/>
    <w:rsid w:val="009A04B9"/>
    <w:rsid w:val="009A0845"/>
    <w:rsid w:val="009A0A33"/>
    <w:rsid w:val="009A0D01"/>
    <w:rsid w:val="009A141F"/>
    <w:rsid w:val="009A19CD"/>
    <w:rsid w:val="009A2F75"/>
    <w:rsid w:val="009A312F"/>
    <w:rsid w:val="009A336B"/>
    <w:rsid w:val="009A33BD"/>
    <w:rsid w:val="009A36D3"/>
    <w:rsid w:val="009A4B3D"/>
    <w:rsid w:val="009A5132"/>
    <w:rsid w:val="009A53C6"/>
    <w:rsid w:val="009A59B8"/>
    <w:rsid w:val="009A5BDB"/>
    <w:rsid w:val="009A63D2"/>
    <w:rsid w:val="009A65FE"/>
    <w:rsid w:val="009A66BE"/>
    <w:rsid w:val="009A6704"/>
    <w:rsid w:val="009A69E9"/>
    <w:rsid w:val="009A7487"/>
    <w:rsid w:val="009A74D4"/>
    <w:rsid w:val="009A770B"/>
    <w:rsid w:val="009A779A"/>
    <w:rsid w:val="009A7898"/>
    <w:rsid w:val="009A79E0"/>
    <w:rsid w:val="009A7E59"/>
    <w:rsid w:val="009B0174"/>
    <w:rsid w:val="009B0944"/>
    <w:rsid w:val="009B0B01"/>
    <w:rsid w:val="009B0B74"/>
    <w:rsid w:val="009B0D37"/>
    <w:rsid w:val="009B0E8A"/>
    <w:rsid w:val="009B0F9F"/>
    <w:rsid w:val="009B1072"/>
    <w:rsid w:val="009B136D"/>
    <w:rsid w:val="009B1547"/>
    <w:rsid w:val="009B1853"/>
    <w:rsid w:val="009B1F83"/>
    <w:rsid w:val="009B2734"/>
    <w:rsid w:val="009B290D"/>
    <w:rsid w:val="009B29A3"/>
    <w:rsid w:val="009B3234"/>
    <w:rsid w:val="009B3269"/>
    <w:rsid w:val="009B33DA"/>
    <w:rsid w:val="009B34CE"/>
    <w:rsid w:val="009B42E3"/>
    <w:rsid w:val="009B474E"/>
    <w:rsid w:val="009B4C27"/>
    <w:rsid w:val="009B5770"/>
    <w:rsid w:val="009B5AED"/>
    <w:rsid w:val="009B5E8B"/>
    <w:rsid w:val="009B6523"/>
    <w:rsid w:val="009B6D70"/>
    <w:rsid w:val="009B7558"/>
    <w:rsid w:val="009B7E93"/>
    <w:rsid w:val="009C0039"/>
    <w:rsid w:val="009C00D6"/>
    <w:rsid w:val="009C0158"/>
    <w:rsid w:val="009C01B7"/>
    <w:rsid w:val="009C026B"/>
    <w:rsid w:val="009C039C"/>
    <w:rsid w:val="009C04BD"/>
    <w:rsid w:val="009C06CD"/>
    <w:rsid w:val="009C078E"/>
    <w:rsid w:val="009C0A41"/>
    <w:rsid w:val="009C147B"/>
    <w:rsid w:val="009C14B2"/>
    <w:rsid w:val="009C1724"/>
    <w:rsid w:val="009C1846"/>
    <w:rsid w:val="009C1EC2"/>
    <w:rsid w:val="009C213E"/>
    <w:rsid w:val="009C2185"/>
    <w:rsid w:val="009C26B4"/>
    <w:rsid w:val="009C27F4"/>
    <w:rsid w:val="009C27F9"/>
    <w:rsid w:val="009C28FA"/>
    <w:rsid w:val="009C2E3C"/>
    <w:rsid w:val="009C3C25"/>
    <w:rsid w:val="009C3C36"/>
    <w:rsid w:val="009C419C"/>
    <w:rsid w:val="009C447B"/>
    <w:rsid w:val="009C477A"/>
    <w:rsid w:val="009C4BCB"/>
    <w:rsid w:val="009C5444"/>
    <w:rsid w:val="009C5893"/>
    <w:rsid w:val="009C5BEA"/>
    <w:rsid w:val="009C5C2F"/>
    <w:rsid w:val="009C61BD"/>
    <w:rsid w:val="009C626C"/>
    <w:rsid w:val="009C6338"/>
    <w:rsid w:val="009C635D"/>
    <w:rsid w:val="009C6530"/>
    <w:rsid w:val="009C661C"/>
    <w:rsid w:val="009C676F"/>
    <w:rsid w:val="009C6780"/>
    <w:rsid w:val="009C682E"/>
    <w:rsid w:val="009C6849"/>
    <w:rsid w:val="009C68F1"/>
    <w:rsid w:val="009C6968"/>
    <w:rsid w:val="009C6D47"/>
    <w:rsid w:val="009C6E7E"/>
    <w:rsid w:val="009C713C"/>
    <w:rsid w:val="009C7307"/>
    <w:rsid w:val="009C7374"/>
    <w:rsid w:val="009C757C"/>
    <w:rsid w:val="009C78F2"/>
    <w:rsid w:val="009C7F73"/>
    <w:rsid w:val="009C7F95"/>
    <w:rsid w:val="009C7FFA"/>
    <w:rsid w:val="009D0025"/>
    <w:rsid w:val="009D06DE"/>
    <w:rsid w:val="009D0BC5"/>
    <w:rsid w:val="009D0C07"/>
    <w:rsid w:val="009D0EE6"/>
    <w:rsid w:val="009D0F5E"/>
    <w:rsid w:val="009D11C9"/>
    <w:rsid w:val="009D12A1"/>
    <w:rsid w:val="009D1464"/>
    <w:rsid w:val="009D15F8"/>
    <w:rsid w:val="009D1C71"/>
    <w:rsid w:val="009D1D20"/>
    <w:rsid w:val="009D2027"/>
    <w:rsid w:val="009D208F"/>
    <w:rsid w:val="009D2164"/>
    <w:rsid w:val="009D21E6"/>
    <w:rsid w:val="009D2255"/>
    <w:rsid w:val="009D2770"/>
    <w:rsid w:val="009D3051"/>
    <w:rsid w:val="009D3079"/>
    <w:rsid w:val="009D31B5"/>
    <w:rsid w:val="009D32A5"/>
    <w:rsid w:val="009D36D8"/>
    <w:rsid w:val="009D39AC"/>
    <w:rsid w:val="009D3A37"/>
    <w:rsid w:val="009D3BA2"/>
    <w:rsid w:val="009D3FEF"/>
    <w:rsid w:val="009D4106"/>
    <w:rsid w:val="009D436C"/>
    <w:rsid w:val="009D48C0"/>
    <w:rsid w:val="009D49D1"/>
    <w:rsid w:val="009D540C"/>
    <w:rsid w:val="009D5EC9"/>
    <w:rsid w:val="009D615C"/>
    <w:rsid w:val="009D6CD8"/>
    <w:rsid w:val="009D6E52"/>
    <w:rsid w:val="009D6F15"/>
    <w:rsid w:val="009D763C"/>
    <w:rsid w:val="009D79B6"/>
    <w:rsid w:val="009D7F7E"/>
    <w:rsid w:val="009E0512"/>
    <w:rsid w:val="009E056E"/>
    <w:rsid w:val="009E06BB"/>
    <w:rsid w:val="009E08AB"/>
    <w:rsid w:val="009E0B55"/>
    <w:rsid w:val="009E0E9F"/>
    <w:rsid w:val="009E13E8"/>
    <w:rsid w:val="009E1FB1"/>
    <w:rsid w:val="009E2F62"/>
    <w:rsid w:val="009E2FFB"/>
    <w:rsid w:val="009E35BB"/>
    <w:rsid w:val="009E3733"/>
    <w:rsid w:val="009E38CB"/>
    <w:rsid w:val="009E4007"/>
    <w:rsid w:val="009E4046"/>
    <w:rsid w:val="009E436C"/>
    <w:rsid w:val="009E4667"/>
    <w:rsid w:val="009E472C"/>
    <w:rsid w:val="009E473A"/>
    <w:rsid w:val="009E4B39"/>
    <w:rsid w:val="009E4CE7"/>
    <w:rsid w:val="009E5006"/>
    <w:rsid w:val="009E5102"/>
    <w:rsid w:val="009E541C"/>
    <w:rsid w:val="009E566B"/>
    <w:rsid w:val="009E5D93"/>
    <w:rsid w:val="009E5EBD"/>
    <w:rsid w:val="009E5EC5"/>
    <w:rsid w:val="009E5F1D"/>
    <w:rsid w:val="009E6020"/>
    <w:rsid w:val="009E6602"/>
    <w:rsid w:val="009E68B6"/>
    <w:rsid w:val="009E6E64"/>
    <w:rsid w:val="009E7019"/>
    <w:rsid w:val="009E70F3"/>
    <w:rsid w:val="009E7664"/>
    <w:rsid w:val="009E7BAE"/>
    <w:rsid w:val="009E7F0F"/>
    <w:rsid w:val="009F032D"/>
    <w:rsid w:val="009F0BFA"/>
    <w:rsid w:val="009F0D73"/>
    <w:rsid w:val="009F0ECA"/>
    <w:rsid w:val="009F1285"/>
    <w:rsid w:val="009F12EA"/>
    <w:rsid w:val="009F1477"/>
    <w:rsid w:val="009F1924"/>
    <w:rsid w:val="009F1963"/>
    <w:rsid w:val="009F1A4B"/>
    <w:rsid w:val="009F1CC8"/>
    <w:rsid w:val="009F1F41"/>
    <w:rsid w:val="009F2E82"/>
    <w:rsid w:val="009F2EF2"/>
    <w:rsid w:val="009F2F70"/>
    <w:rsid w:val="009F338A"/>
    <w:rsid w:val="009F3400"/>
    <w:rsid w:val="009F3B8A"/>
    <w:rsid w:val="009F3C4E"/>
    <w:rsid w:val="009F3FA3"/>
    <w:rsid w:val="009F416E"/>
    <w:rsid w:val="009F41AC"/>
    <w:rsid w:val="009F4242"/>
    <w:rsid w:val="009F43DA"/>
    <w:rsid w:val="009F4B25"/>
    <w:rsid w:val="009F4DD0"/>
    <w:rsid w:val="009F4EC9"/>
    <w:rsid w:val="009F55A1"/>
    <w:rsid w:val="009F55D0"/>
    <w:rsid w:val="009F5630"/>
    <w:rsid w:val="009F5753"/>
    <w:rsid w:val="009F5B85"/>
    <w:rsid w:val="009F5BBD"/>
    <w:rsid w:val="009F62DE"/>
    <w:rsid w:val="009F6697"/>
    <w:rsid w:val="009F66FF"/>
    <w:rsid w:val="009F6E31"/>
    <w:rsid w:val="009F6F09"/>
    <w:rsid w:val="009F7108"/>
    <w:rsid w:val="009F7152"/>
    <w:rsid w:val="009F7378"/>
    <w:rsid w:val="009F749C"/>
    <w:rsid w:val="009F74B2"/>
    <w:rsid w:val="009F78D3"/>
    <w:rsid w:val="009F7A02"/>
    <w:rsid w:val="009F7B2C"/>
    <w:rsid w:val="009F7B74"/>
    <w:rsid w:val="009F7BDD"/>
    <w:rsid w:val="009F7CAC"/>
    <w:rsid w:val="009F7F68"/>
    <w:rsid w:val="00A008FE"/>
    <w:rsid w:val="00A01635"/>
    <w:rsid w:val="00A019AC"/>
    <w:rsid w:val="00A01D99"/>
    <w:rsid w:val="00A021D7"/>
    <w:rsid w:val="00A02692"/>
    <w:rsid w:val="00A0276D"/>
    <w:rsid w:val="00A02921"/>
    <w:rsid w:val="00A02A65"/>
    <w:rsid w:val="00A030E6"/>
    <w:rsid w:val="00A0333D"/>
    <w:rsid w:val="00A03B0F"/>
    <w:rsid w:val="00A03CAB"/>
    <w:rsid w:val="00A04601"/>
    <w:rsid w:val="00A046B9"/>
    <w:rsid w:val="00A047ED"/>
    <w:rsid w:val="00A04DB2"/>
    <w:rsid w:val="00A05222"/>
    <w:rsid w:val="00A0555A"/>
    <w:rsid w:val="00A05940"/>
    <w:rsid w:val="00A05AE5"/>
    <w:rsid w:val="00A05DA1"/>
    <w:rsid w:val="00A06065"/>
    <w:rsid w:val="00A06233"/>
    <w:rsid w:val="00A06411"/>
    <w:rsid w:val="00A0676F"/>
    <w:rsid w:val="00A067DD"/>
    <w:rsid w:val="00A06AD8"/>
    <w:rsid w:val="00A06AEB"/>
    <w:rsid w:val="00A06B0D"/>
    <w:rsid w:val="00A06BFC"/>
    <w:rsid w:val="00A06D61"/>
    <w:rsid w:val="00A06D91"/>
    <w:rsid w:val="00A06EBE"/>
    <w:rsid w:val="00A06EC3"/>
    <w:rsid w:val="00A07102"/>
    <w:rsid w:val="00A0715D"/>
    <w:rsid w:val="00A072DD"/>
    <w:rsid w:val="00A07469"/>
    <w:rsid w:val="00A07697"/>
    <w:rsid w:val="00A07ED8"/>
    <w:rsid w:val="00A10238"/>
    <w:rsid w:val="00A10E35"/>
    <w:rsid w:val="00A10E95"/>
    <w:rsid w:val="00A10FAC"/>
    <w:rsid w:val="00A112B2"/>
    <w:rsid w:val="00A11C30"/>
    <w:rsid w:val="00A11E46"/>
    <w:rsid w:val="00A1204E"/>
    <w:rsid w:val="00A1244E"/>
    <w:rsid w:val="00A12C80"/>
    <w:rsid w:val="00A12D13"/>
    <w:rsid w:val="00A13147"/>
    <w:rsid w:val="00A13323"/>
    <w:rsid w:val="00A1339D"/>
    <w:rsid w:val="00A136A5"/>
    <w:rsid w:val="00A138B9"/>
    <w:rsid w:val="00A14004"/>
    <w:rsid w:val="00A14226"/>
    <w:rsid w:val="00A146E3"/>
    <w:rsid w:val="00A14A14"/>
    <w:rsid w:val="00A15394"/>
    <w:rsid w:val="00A153CC"/>
    <w:rsid w:val="00A154D1"/>
    <w:rsid w:val="00A15677"/>
    <w:rsid w:val="00A158C7"/>
    <w:rsid w:val="00A160DD"/>
    <w:rsid w:val="00A163E3"/>
    <w:rsid w:val="00A16868"/>
    <w:rsid w:val="00A16BA1"/>
    <w:rsid w:val="00A1704C"/>
    <w:rsid w:val="00A173EE"/>
    <w:rsid w:val="00A1751F"/>
    <w:rsid w:val="00A1757F"/>
    <w:rsid w:val="00A178A0"/>
    <w:rsid w:val="00A178AA"/>
    <w:rsid w:val="00A17A2D"/>
    <w:rsid w:val="00A17CAB"/>
    <w:rsid w:val="00A2002F"/>
    <w:rsid w:val="00A20335"/>
    <w:rsid w:val="00A205A9"/>
    <w:rsid w:val="00A208D4"/>
    <w:rsid w:val="00A20A12"/>
    <w:rsid w:val="00A2114A"/>
    <w:rsid w:val="00A21466"/>
    <w:rsid w:val="00A21988"/>
    <w:rsid w:val="00A21C2B"/>
    <w:rsid w:val="00A21E41"/>
    <w:rsid w:val="00A22BBC"/>
    <w:rsid w:val="00A22FDB"/>
    <w:rsid w:val="00A2330B"/>
    <w:rsid w:val="00A2339C"/>
    <w:rsid w:val="00A2339F"/>
    <w:rsid w:val="00A23456"/>
    <w:rsid w:val="00A2377F"/>
    <w:rsid w:val="00A23B3A"/>
    <w:rsid w:val="00A23B59"/>
    <w:rsid w:val="00A23EFD"/>
    <w:rsid w:val="00A24A57"/>
    <w:rsid w:val="00A24AAD"/>
    <w:rsid w:val="00A24B86"/>
    <w:rsid w:val="00A24EC5"/>
    <w:rsid w:val="00A25065"/>
    <w:rsid w:val="00A2549F"/>
    <w:rsid w:val="00A255DE"/>
    <w:rsid w:val="00A25724"/>
    <w:rsid w:val="00A262DC"/>
    <w:rsid w:val="00A263E2"/>
    <w:rsid w:val="00A26425"/>
    <w:rsid w:val="00A26C66"/>
    <w:rsid w:val="00A27067"/>
    <w:rsid w:val="00A27096"/>
    <w:rsid w:val="00A27101"/>
    <w:rsid w:val="00A271E9"/>
    <w:rsid w:val="00A27765"/>
    <w:rsid w:val="00A27B5B"/>
    <w:rsid w:val="00A27C46"/>
    <w:rsid w:val="00A27E2B"/>
    <w:rsid w:val="00A27F21"/>
    <w:rsid w:val="00A304E7"/>
    <w:rsid w:val="00A30AD1"/>
    <w:rsid w:val="00A30C52"/>
    <w:rsid w:val="00A30D73"/>
    <w:rsid w:val="00A30FC2"/>
    <w:rsid w:val="00A310FF"/>
    <w:rsid w:val="00A31A6E"/>
    <w:rsid w:val="00A31CAF"/>
    <w:rsid w:val="00A31D02"/>
    <w:rsid w:val="00A32457"/>
    <w:rsid w:val="00A32515"/>
    <w:rsid w:val="00A32615"/>
    <w:rsid w:val="00A32B89"/>
    <w:rsid w:val="00A32C3C"/>
    <w:rsid w:val="00A32E5C"/>
    <w:rsid w:val="00A32F9F"/>
    <w:rsid w:val="00A3347E"/>
    <w:rsid w:val="00A337A0"/>
    <w:rsid w:val="00A339C5"/>
    <w:rsid w:val="00A33CB3"/>
    <w:rsid w:val="00A34101"/>
    <w:rsid w:val="00A346A9"/>
    <w:rsid w:val="00A34885"/>
    <w:rsid w:val="00A348E8"/>
    <w:rsid w:val="00A34AA3"/>
    <w:rsid w:val="00A34E77"/>
    <w:rsid w:val="00A3557A"/>
    <w:rsid w:val="00A355DE"/>
    <w:rsid w:val="00A35940"/>
    <w:rsid w:val="00A35B93"/>
    <w:rsid w:val="00A35E5B"/>
    <w:rsid w:val="00A36166"/>
    <w:rsid w:val="00A364D6"/>
    <w:rsid w:val="00A3697F"/>
    <w:rsid w:val="00A37003"/>
    <w:rsid w:val="00A377B2"/>
    <w:rsid w:val="00A37EAE"/>
    <w:rsid w:val="00A37FE4"/>
    <w:rsid w:val="00A40231"/>
    <w:rsid w:val="00A40698"/>
    <w:rsid w:val="00A40B96"/>
    <w:rsid w:val="00A411A3"/>
    <w:rsid w:val="00A41343"/>
    <w:rsid w:val="00A41587"/>
    <w:rsid w:val="00A41DFD"/>
    <w:rsid w:val="00A421D7"/>
    <w:rsid w:val="00A424BE"/>
    <w:rsid w:val="00A42702"/>
    <w:rsid w:val="00A430A7"/>
    <w:rsid w:val="00A430ED"/>
    <w:rsid w:val="00A43271"/>
    <w:rsid w:val="00A436EF"/>
    <w:rsid w:val="00A43B83"/>
    <w:rsid w:val="00A43D02"/>
    <w:rsid w:val="00A43F34"/>
    <w:rsid w:val="00A4413B"/>
    <w:rsid w:val="00A442ED"/>
    <w:rsid w:val="00A44465"/>
    <w:rsid w:val="00A44822"/>
    <w:rsid w:val="00A44BAA"/>
    <w:rsid w:val="00A45226"/>
    <w:rsid w:val="00A4534C"/>
    <w:rsid w:val="00A45501"/>
    <w:rsid w:val="00A45555"/>
    <w:rsid w:val="00A455CB"/>
    <w:rsid w:val="00A456CE"/>
    <w:rsid w:val="00A45A46"/>
    <w:rsid w:val="00A45C51"/>
    <w:rsid w:val="00A45F7A"/>
    <w:rsid w:val="00A463E1"/>
    <w:rsid w:val="00A473D1"/>
    <w:rsid w:val="00A47F92"/>
    <w:rsid w:val="00A501FF"/>
    <w:rsid w:val="00A504F6"/>
    <w:rsid w:val="00A50871"/>
    <w:rsid w:val="00A509D7"/>
    <w:rsid w:val="00A50A11"/>
    <w:rsid w:val="00A50C33"/>
    <w:rsid w:val="00A515BB"/>
    <w:rsid w:val="00A51BE1"/>
    <w:rsid w:val="00A51D5C"/>
    <w:rsid w:val="00A51DF3"/>
    <w:rsid w:val="00A52426"/>
    <w:rsid w:val="00A526DA"/>
    <w:rsid w:val="00A52907"/>
    <w:rsid w:val="00A52A0D"/>
    <w:rsid w:val="00A52BB5"/>
    <w:rsid w:val="00A52C5C"/>
    <w:rsid w:val="00A52E13"/>
    <w:rsid w:val="00A5312B"/>
    <w:rsid w:val="00A53254"/>
    <w:rsid w:val="00A536B6"/>
    <w:rsid w:val="00A54091"/>
    <w:rsid w:val="00A540A0"/>
    <w:rsid w:val="00A54AF0"/>
    <w:rsid w:val="00A54B81"/>
    <w:rsid w:val="00A55DEB"/>
    <w:rsid w:val="00A55F88"/>
    <w:rsid w:val="00A568F2"/>
    <w:rsid w:val="00A568F9"/>
    <w:rsid w:val="00A56C9A"/>
    <w:rsid w:val="00A56E76"/>
    <w:rsid w:val="00A570EC"/>
    <w:rsid w:val="00A573DC"/>
    <w:rsid w:val="00A577D3"/>
    <w:rsid w:val="00A578BE"/>
    <w:rsid w:val="00A57A51"/>
    <w:rsid w:val="00A57A78"/>
    <w:rsid w:val="00A57AC5"/>
    <w:rsid w:val="00A57BEF"/>
    <w:rsid w:val="00A57C99"/>
    <w:rsid w:val="00A57DAD"/>
    <w:rsid w:val="00A57E2B"/>
    <w:rsid w:val="00A60429"/>
    <w:rsid w:val="00A60626"/>
    <w:rsid w:val="00A60B7A"/>
    <w:rsid w:val="00A611E8"/>
    <w:rsid w:val="00A61634"/>
    <w:rsid w:val="00A618A3"/>
    <w:rsid w:val="00A61C9B"/>
    <w:rsid w:val="00A61F2A"/>
    <w:rsid w:val="00A623D9"/>
    <w:rsid w:val="00A625CB"/>
    <w:rsid w:val="00A6267B"/>
    <w:rsid w:val="00A62DAD"/>
    <w:rsid w:val="00A63021"/>
    <w:rsid w:val="00A63444"/>
    <w:rsid w:val="00A63849"/>
    <w:rsid w:val="00A63973"/>
    <w:rsid w:val="00A63C9F"/>
    <w:rsid w:val="00A63CF7"/>
    <w:rsid w:val="00A64979"/>
    <w:rsid w:val="00A6528A"/>
    <w:rsid w:val="00A65595"/>
    <w:rsid w:val="00A65C7F"/>
    <w:rsid w:val="00A65CC9"/>
    <w:rsid w:val="00A666BA"/>
    <w:rsid w:val="00A66869"/>
    <w:rsid w:val="00A66900"/>
    <w:rsid w:val="00A66972"/>
    <w:rsid w:val="00A66B17"/>
    <w:rsid w:val="00A66B3A"/>
    <w:rsid w:val="00A66B76"/>
    <w:rsid w:val="00A66E83"/>
    <w:rsid w:val="00A66FE4"/>
    <w:rsid w:val="00A6700E"/>
    <w:rsid w:val="00A67122"/>
    <w:rsid w:val="00A67504"/>
    <w:rsid w:val="00A67944"/>
    <w:rsid w:val="00A67C32"/>
    <w:rsid w:val="00A67DA0"/>
    <w:rsid w:val="00A67EDB"/>
    <w:rsid w:val="00A700F0"/>
    <w:rsid w:val="00A70723"/>
    <w:rsid w:val="00A70C0C"/>
    <w:rsid w:val="00A7111A"/>
    <w:rsid w:val="00A711C4"/>
    <w:rsid w:val="00A712E4"/>
    <w:rsid w:val="00A7195E"/>
    <w:rsid w:val="00A71B4B"/>
    <w:rsid w:val="00A72032"/>
    <w:rsid w:val="00A72606"/>
    <w:rsid w:val="00A72754"/>
    <w:rsid w:val="00A729E8"/>
    <w:rsid w:val="00A72E83"/>
    <w:rsid w:val="00A72EA5"/>
    <w:rsid w:val="00A72FC5"/>
    <w:rsid w:val="00A735BA"/>
    <w:rsid w:val="00A7364C"/>
    <w:rsid w:val="00A7377E"/>
    <w:rsid w:val="00A738BA"/>
    <w:rsid w:val="00A73906"/>
    <w:rsid w:val="00A73937"/>
    <w:rsid w:val="00A73B40"/>
    <w:rsid w:val="00A73C87"/>
    <w:rsid w:val="00A747B8"/>
    <w:rsid w:val="00A74A46"/>
    <w:rsid w:val="00A74B59"/>
    <w:rsid w:val="00A74C87"/>
    <w:rsid w:val="00A75024"/>
    <w:rsid w:val="00A75723"/>
    <w:rsid w:val="00A759F6"/>
    <w:rsid w:val="00A75B01"/>
    <w:rsid w:val="00A75B34"/>
    <w:rsid w:val="00A76153"/>
    <w:rsid w:val="00A76193"/>
    <w:rsid w:val="00A76225"/>
    <w:rsid w:val="00A76DD9"/>
    <w:rsid w:val="00A770BD"/>
    <w:rsid w:val="00A77150"/>
    <w:rsid w:val="00A773C3"/>
    <w:rsid w:val="00A77663"/>
    <w:rsid w:val="00A779C9"/>
    <w:rsid w:val="00A77B23"/>
    <w:rsid w:val="00A80095"/>
    <w:rsid w:val="00A8033D"/>
    <w:rsid w:val="00A8042E"/>
    <w:rsid w:val="00A80B41"/>
    <w:rsid w:val="00A80C43"/>
    <w:rsid w:val="00A80DE6"/>
    <w:rsid w:val="00A8110A"/>
    <w:rsid w:val="00A8150E"/>
    <w:rsid w:val="00A81706"/>
    <w:rsid w:val="00A81900"/>
    <w:rsid w:val="00A81B15"/>
    <w:rsid w:val="00A82269"/>
    <w:rsid w:val="00A8294F"/>
    <w:rsid w:val="00A82EF2"/>
    <w:rsid w:val="00A82FF1"/>
    <w:rsid w:val="00A83011"/>
    <w:rsid w:val="00A83484"/>
    <w:rsid w:val="00A836D3"/>
    <w:rsid w:val="00A83E0F"/>
    <w:rsid w:val="00A8403D"/>
    <w:rsid w:val="00A85246"/>
    <w:rsid w:val="00A85302"/>
    <w:rsid w:val="00A853F6"/>
    <w:rsid w:val="00A85ADE"/>
    <w:rsid w:val="00A85FD8"/>
    <w:rsid w:val="00A86453"/>
    <w:rsid w:val="00A86915"/>
    <w:rsid w:val="00A86AD2"/>
    <w:rsid w:val="00A86B3B"/>
    <w:rsid w:val="00A86D4E"/>
    <w:rsid w:val="00A87101"/>
    <w:rsid w:val="00A874A6"/>
    <w:rsid w:val="00A8774D"/>
    <w:rsid w:val="00A8795E"/>
    <w:rsid w:val="00A87CA7"/>
    <w:rsid w:val="00A87ED5"/>
    <w:rsid w:val="00A90318"/>
    <w:rsid w:val="00A90583"/>
    <w:rsid w:val="00A905CA"/>
    <w:rsid w:val="00A90C07"/>
    <w:rsid w:val="00A91421"/>
    <w:rsid w:val="00A916DB"/>
    <w:rsid w:val="00A917C7"/>
    <w:rsid w:val="00A920ED"/>
    <w:rsid w:val="00A9212A"/>
    <w:rsid w:val="00A92415"/>
    <w:rsid w:val="00A92479"/>
    <w:rsid w:val="00A924F4"/>
    <w:rsid w:val="00A93026"/>
    <w:rsid w:val="00A930AA"/>
    <w:rsid w:val="00A9333B"/>
    <w:rsid w:val="00A93480"/>
    <w:rsid w:val="00A93B3D"/>
    <w:rsid w:val="00A94421"/>
    <w:rsid w:val="00A9458F"/>
    <w:rsid w:val="00A945DF"/>
    <w:rsid w:val="00A94FE3"/>
    <w:rsid w:val="00A95414"/>
    <w:rsid w:val="00A95500"/>
    <w:rsid w:val="00A95581"/>
    <w:rsid w:val="00A955AA"/>
    <w:rsid w:val="00A95804"/>
    <w:rsid w:val="00A95993"/>
    <w:rsid w:val="00A95BEC"/>
    <w:rsid w:val="00A95E75"/>
    <w:rsid w:val="00A9609C"/>
    <w:rsid w:val="00A96647"/>
    <w:rsid w:val="00A9669D"/>
    <w:rsid w:val="00A96E2C"/>
    <w:rsid w:val="00A9764D"/>
    <w:rsid w:val="00A97822"/>
    <w:rsid w:val="00AA0188"/>
    <w:rsid w:val="00AA040B"/>
    <w:rsid w:val="00AA0438"/>
    <w:rsid w:val="00AA043C"/>
    <w:rsid w:val="00AA05E5"/>
    <w:rsid w:val="00AA078D"/>
    <w:rsid w:val="00AA085C"/>
    <w:rsid w:val="00AA0C0C"/>
    <w:rsid w:val="00AA0D22"/>
    <w:rsid w:val="00AA0EE3"/>
    <w:rsid w:val="00AA16C6"/>
    <w:rsid w:val="00AA1A85"/>
    <w:rsid w:val="00AA1B3D"/>
    <w:rsid w:val="00AA2AE3"/>
    <w:rsid w:val="00AA2B68"/>
    <w:rsid w:val="00AA3215"/>
    <w:rsid w:val="00AA32C5"/>
    <w:rsid w:val="00AA3366"/>
    <w:rsid w:val="00AA3658"/>
    <w:rsid w:val="00AA3E7D"/>
    <w:rsid w:val="00AA4443"/>
    <w:rsid w:val="00AA45E4"/>
    <w:rsid w:val="00AA46A8"/>
    <w:rsid w:val="00AA4BF9"/>
    <w:rsid w:val="00AA4C0C"/>
    <w:rsid w:val="00AA4E46"/>
    <w:rsid w:val="00AA4EEC"/>
    <w:rsid w:val="00AA50AF"/>
    <w:rsid w:val="00AA5A29"/>
    <w:rsid w:val="00AA5AC6"/>
    <w:rsid w:val="00AA5B53"/>
    <w:rsid w:val="00AA5C3E"/>
    <w:rsid w:val="00AA5F12"/>
    <w:rsid w:val="00AA60B0"/>
    <w:rsid w:val="00AA64DE"/>
    <w:rsid w:val="00AA65C2"/>
    <w:rsid w:val="00AA6926"/>
    <w:rsid w:val="00AA6E24"/>
    <w:rsid w:val="00AA6EC9"/>
    <w:rsid w:val="00AA7124"/>
    <w:rsid w:val="00AA7394"/>
    <w:rsid w:val="00AA74C0"/>
    <w:rsid w:val="00AA751B"/>
    <w:rsid w:val="00AA763F"/>
    <w:rsid w:val="00AA7666"/>
    <w:rsid w:val="00AA766E"/>
    <w:rsid w:val="00AA7788"/>
    <w:rsid w:val="00AA7923"/>
    <w:rsid w:val="00AA7C46"/>
    <w:rsid w:val="00AB037B"/>
    <w:rsid w:val="00AB0516"/>
    <w:rsid w:val="00AB052B"/>
    <w:rsid w:val="00AB0B44"/>
    <w:rsid w:val="00AB0C4F"/>
    <w:rsid w:val="00AB0D1D"/>
    <w:rsid w:val="00AB11B9"/>
    <w:rsid w:val="00AB11FB"/>
    <w:rsid w:val="00AB1683"/>
    <w:rsid w:val="00AB1DD1"/>
    <w:rsid w:val="00AB2021"/>
    <w:rsid w:val="00AB2378"/>
    <w:rsid w:val="00AB254A"/>
    <w:rsid w:val="00AB259F"/>
    <w:rsid w:val="00AB28D3"/>
    <w:rsid w:val="00AB2937"/>
    <w:rsid w:val="00AB2C3E"/>
    <w:rsid w:val="00AB2CDE"/>
    <w:rsid w:val="00AB30EB"/>
    <w:rsid w:val="00AB3147"/>
    <w:rsid w:val="00AB33C8"/>
    <w:rsid w:val="00AB3465"/>
    <w:rsid w:val="00AB3670"/>
    <w:rsid w:val="00AB38A3"/>
    <w:rsid w:val="00AB4075"/>
    <w:rsid w:val="00AB409B"/>
    <w:rsid w:val="00AB40ED"/>
    <w:rsid w:val="00AB41C6"/>
    <w:rsid w:val="00AB4236"/>
    <w:rsid w:val="00AB4A6B"/>
    <w:rsid w:val="00AB4D87"/>
    <w:rsid w:val="00AB513B"/>
    <w:rsid w:val="00AB5264"/>
    <w:rsid w:val="00AB57F2"/>
    <w:rsid w:val="00AB5E1D"/>
    <w:rsid w:val="00AB6154"/>
    <w:rsid w:val="00AB62ED"/>
    <w:rsid w:val="00AB634D"/>
    <w:rsid w:val="00AB65C4"/>
    <w:rsid w:val="00AB661E"/>
    <w:rsid w:val="00AB6699"/>
    <w:rsid w:val="00AB66F1"/>
    <w:rsid w:val="00AB6841"/>
    <w:rsid w:val="00AB6CFD"/>
    <w:rsid w:val="00AB6E22"/>
    <w:rsid w:val="00AB717F"/>
    <w:rsid w:val="00AB729A"/>
    <w:rsid w:val="00AB776F"/>
    <w:rsid w:val="00AC01C9"/>
    <w:rsid w:val="00AC0201"/>
    <w:rsid w:val="00AC0489"/>
    <w:rsid w:val="00AC0B7B"/>
    <w:rsid w:val="00AC0C5A"/>
    <w:rsid w:val="00AC1054"/>
    <w:rsid w:val="00AC1428"/>
    <w:rsid w:val="00AC1500"/>
    <w:rsid w:val="00AC1A6A"/>
    <w:rsid w:val="00AC1F0C"/>
    <w:rsid w:val="00AC204E"/>
    <w:rsid w:val="00AC21D4"/>
    <w:rsid w:val="00AC361A"/>
    <w:rsid w:val="00AC36CA"/>
    <w:rsid w:val="00AC38B1"/>
    <w:rsid w:val="00AC3B25"/>
    <w:rsid w:val="00AC3B58"/>
    <w:rsid w:val="00AC3C8E"/>
    <w:rsid w:val="00AC3CFE"/>
    <w:rsid w:val="00AC3EEE"/>
    <w:rsid w:val="00AC3FCE"/>
    <w:rsid w:val="00AC42F8"/>
    <w:rsid w:val="00AC4357"/>
    <w:rsid w:val="00AC4A19"/>
    <w:rsid w:val="00AC4B55"/>
    <w:rsid w:val="00AC4C70"/>
    <w:rsid w:val="00AC4E12"/>
    <w:rsid w:val="00AC4E5D"/>
    <w:rsid w:val="00AC4FD9"/>
    <w:rsid w:val="00AC5793"/>
    <w:rsid w:val="00AC696D"/>
    <w:rsid w:val="00AC69F8"/>
    <w:rsid w:val="00AC6C50"/>
    <w:rsid w:val="00AC6D97"/>
    <w:rsid w:val="00AC704B"/>
    <w:rsid w:val="00AC709E"/>
    <w:rsid w:val="00AC74A6"/>
    <w:rsid w:val="00AC75A0"/>
    <w:rsid w:val="00AC7CE6"/>
    <w:rsid w:val="00AC7EF9"/>
    <w:rsid w:val="00AD03B6"/>
    <w:rsid w:val="00AD0776"/>
    <w:rsid w:val="00AD0D76"/>
    <w:rsid w:val="00AD10DD"/>
    <w:rsid w:val="00AD1279"/>
    <w:rsid w:val="00AD1C2F"/>
    <w:rsid w:val="00AD1C58"/>
    <w:rsid w:val="00AD1CAD"/>
    <w:rsid w:val="00AD1F53"/>
    <w:rsid w:val="00AD1F97"/>
    <w:rsid w:val="00AD2160"/>
    <w:rsid w:val="00AD21E5"/>
    <w:rsid w:val="00AD2296"/>
    <w:rsid w:val="00AD31E8"/>
    <w:rsid w:val="00AD32D5"/>
    <w:rsid w:val="00AD33D1"/>
    <w:rsid w:val="00AD3507"/>
    <w:rsid w:val="00AD37AC"/>
    <w:rsid w:val="00AD3810"/>
    <w:rsid w:val="00AD39D5"/>
    <w:rsid w:val="00AD3F4C"/>
    <w:rsid w:val="00AD4BED"/>
    <w:rsid w:val="00AD4D55"/>
    <w:rsid w:val="00AD4EA1"/>
    <w:rsid w:val="00AD5085"/>
    <w:rsid w:val="00AD526D"/>
    <w:rsid w:val="00AD53B6"/>
    <w:rsid w:val="00AD5451"/>
    <w:rsid w:val="00AD5B8A"/>
    <w:rsid w:val="00AD5E07"/>
    <w:rsid w:val="00AD60E2"/>
    <w:rsid w:val="00AD640A"/>
    <w:rsid w:val="00AD6B6C"/>
    <w:rsid w:val="00AD6BFC"/>
    <w:rsid w:val="00AD6D79"/>
    <w:rsid w:val="00AD6FC3"/>
    <w:rsid w:val="00AD70AC"/>
    <w:rsid w:val="00AD715A"/>
    <w:rsid w:val="00AD7283"/>
    <w:rsid w:val="00AD72C0"/>
    <w:rsid w:val="00AD78EB"/>
    <w:rsid w:val="00AD79FE"/>
    <w:rsid w:val="00AD7E7A"/>
    <w:rsid w:val="00AE093A"/>
    <w:rsid w:val="00AE0A4F"/>
    <w:rsid w:val="00AE103E"/>
    <w:rsid w:val="00AE11D9"/>
    <w:rsid w:val="00AE1533"/>
    <w:rsid w:val="00AE15D1"/>
    <w:rsid w:val="00AE1689"/>
    <w:rsid w:val="00AE1853"/>
    <w:rsid w:val="00AE19DE"/>
    <w:rsid w:val="00AE1D60"/>
    <w:rsid w:val="00AE2047"/>
    <w:rsid w:val="00AE2092"/>
    <w:rsid w:val="00AE2244"/>
    <w:rsid w:val="00AE244B"/>
    <w:rsid w:val="00AE27B0"/>
    <w:rsid w:val="00AE2D49"/>
    <w:rsid w:val="00AE2E77"/>
    <w:rsid w:val="00AE2F21"/>
    <w:rsid w:val="00AE3384"/>
    <w:rsid w:val="00AE3874"/>
    <w:rsid w:val="00AE3D14"/>
    <w:rsid w:val="00AE4100"/>
    <w:rsid w:val="00AE44A6"/>
    <w:rsid w:val="00AE4771"/>
    <w:rsid w:val="00AE47B7"/>
    <w:rsid w:val="00AE4CD4"/>
    <w:rsid w:val="00AE521F"/>
    <w:rsid w:val="00AE524A"/>
    <w:rsid w:val="00AE54D4"/>
    <w:rsid w:val="00AE5575"/>
    <w:rsid w:val="00AE5787"/>
    <w:rsid w:val="00AE58FC"/>
    <w:rsid w:val="00AE5930"/>
    <w:rsid w:val="00AE5A10"/>
    <w:rsid w:val="00AE5B52"/>
    <w:rsid w:val="00AE5C14"/>
    <w:rsid w:val="00AE5F1F"/>
    <w:rsid w:val="00AE5F62"/>
    <w:rsid w:val="00AE6536"/>
    <w:rsid w:val="00AE65DC"/>
    <w:rsid w:val="00AE69C7"/>
    <w:rsid w:val="00AE6AA1"/>
    <w:rsid w:val="00AE6B43"/>
    <w:rsid w:val="00AE712A"/>
    <w:rsid w:val="00AE74E3"/>
    <w:rsid w:val="00AE76EF"/>
    <w:rsid w:val="00AE7705"/>
    <w:rsid w:val="00AE7750"/>
    <w:rsid w:val="00AE7AFC"/>
    <w:rsid w:val="00AF02E6"/>
    <w:rsid w:val="00AF0393"/>
    <w:rsid w:val="00AF0724"/>
    <w:rsid w:val="00AF094B"/>
    <w:rsid w:val="00AF09DE"/>
    <w:rsid w:val="00AF0C2F"/>
    <w:rsid w:val="00AF0DBD"/>
    <w:rsid w:val="00AF1028"/>
    <w:rsid w:val="00AF116D"/>
    <w:rsid w:val="00AF1B80"/>
    <w:rsid w:val="00AF1D4B"/>
    <w:rsid w:val="00AF23B1"/>
    <w:rsid w:val="00AF2457"/>
    <w:rsid w:val="00AF2599"/>
    <w:rsid w:val="00AF2901"/>
    <w:rsid w:val="00AF2928"/>
    <w:rsid w:val="00AF3369"/>
    <w:rsid w:val="00AF33EC"/>
    <w:rsid w:val="00AF37C6"/>
    <w:rsid w:val="00AF3B02"/>
    <w:rsid w:val="00AF3EE5"/>
    <w:rsid w:val="00AF4115"/>
    <w:rsid w:val="00AF43CB"/>
    <w:rsid w:val="00AF4566"/>
    <w:rsid w:val="00AF466D"/>
    <w:rsid w:val="00AF47D2"/>
    <w:rsid w:val="00AF4892"/>
    <w:rsid w:val="00AF48AA"/>
    <w:rsid w:val="00AF4D03"/>
    <w:rsid w:val="00AF56E8"/>
    <w:rsid w:val="00AF5DAE"/>
    <w:rsid w:val="00AF610F"/>
    <w:rsid w:val="00AF61D7"/>
    <w:rsid w:val="00AF63EE"/>
    <w:rsid w:val="00AF6420"/>
    <w:rsid w:val="00AF6467"/>
    <w:rsid w:val="00AF6BAA"/>
    <w:rsid w:val="00AF719E"/>
    <w:rsid w:val="00AF74EB"/>
    <w:rsid w:val="00AF7557"/>
    <w:rsid w:val="00AF78BF"/>
    <w:rsid w:val="00AF78D1"/>
    <w:rsid w:val="00AF79AC"/>
    <w:rsid w:val="00AF7A43"/>
    <w:rsid w:val="00AF7D62"/>
    <w:rsid w:val="00AF7D8D"/>
    <w:rsid w:val="00AF7E82"/>
    <w:rsid w:val="00B000CE"/>
    <w:rsid w:val="00B00345"/>
    <w:rsid w:val="00B008FA"/>
    <w:rsid w:val="00B00B4C"/>
    <w:rsid w:val="00B00F30"/>
    <w:rsid w:val="00B010F6"/>
    <w:rsid w:val="00B01985"/>
    <w:rsid w:val="00B02218"/>
    <w:rsid w:val="00B0286B"/>
    <w:rsid w:val="00B02D42"/>
    <w:rsid w:val="00B02EBC"/>
    <w:rsid w:val="00B02F92"/>
    <w:rsid w:val="00B0304E"/>
    <w:rsid w:val="00B0308D"/>
    <w:rsid w:val="00B0342A"/>
    <w:rsid w:val="00B038C2"/>
    <w:rsid w:val="00B03BBF"/>
    <w:rsid w:val="00B03D08"/>
    <w:rsid w:val="00B03DF1"/>
    <w:rsid w:val="00B03F86"/>
    <w:rsid w:val="00B03FAB"/>
    <w:rsid w:val="00B044BE"/>
    <w:rsid w:val="00B04A6B"/>
    <w:rsid w:val="00B059A5"/>
    <w:rsid w:val="00B059C2"/>
    <w:rsid w:val="00B05A6D"/>
    <w:rsid w:val="00B061F3"/>
    <w:rsid w:val="00B062DB"/>
    <w:rsid w:val="00B06322"/>
    <w:rsid w:val="00B06A53"/>
    <w:rsid w:val="00B06D6D"/>
    <w:rsid w:val="00B06ED9"/>
    <w:rsid w:val="00B072CB"/>
    <w:rsid w:val="00B07E7C"/>
    <w:rsid w:val="00B10202"/>
    <w:rsid w:val="00B10642"/>
    <w:rsid w:val="00B107F8"/>
    <w:rsid w:val="00B10996"/>
    <w:rsid w:val="00B10B9E"/>
    <w:rsid w:val="00B11065"/>
    <w:rsid w:val="00B111C6"/>
    <w:rsid w:val="00B11269"/>
    <w:rsid w:val="00B1127C"/>
    <w:rsid w:val="00B112E0"/>
    <w:rsid w:val="00B1141F"/>
    <w:rsid w:val="00B11475"/>
    <w:rsid w:val="00B11ADA"/>
    <w:rsid w:val="00B11E13"/>
    <w:rsid w:val="00B11EE6"/>
    <w:rsid w:val="00B122AD"/>
    <w:rsid w:val="00B125CB"/>
    <w:rsid w:val="00B12622"/>
    <w:rsid w:val="00B12787"/>
    <w:rsid w:val="00B1319C"/>
    <w:rsid w:val="00B13268"/>
    <w:rsid w:val="00B13A45"/>
    <w:rsid w:val="00B13AEB"/>
    <w:rsid w:val="00B13B98"/>
    <w:rsid w:val="00B142D6"/>
    <w:rsid w:val="00B1440A"/>
    <w:rsid w:val="00B1453B"/>
    <w:rsid w:val="00B14614"/>
    <w:rsid w:val="00B149CF"/>
    <w:rsid w:val="00B14BC6"/>
    <w:rsid w:val="00B14CDD"/>
    <w:rsid w:val="00B14F70"/>
    <w:rsid w:val="00B16070"/>
    <w:rsid w:val="00B1624D"/>
    <w:rsid w:val="00B1630B"/>
    <w:rsid w:val="00B16532"/>
    <w:rsid w:val="00B16800"/>
    <w:rsid w:val="00B16D6A"/>
    <w:rsid w:val="00B16D84"/>
    <w:rsid w:val="00B16E7B"/>
    <w:rsid w:val="00B1721B"/>
    <w:rsid w:val="00B176F4"/>
    <w:rsid w:val="00B17CB7"/>
    <w:rsid w:val="00B17D69"/>
    <w:rsid w:val="00B20504"/>
    <w:rsid w:val="00B205E3"/>
    <w:rsid w:val="00B212E7"/>
    <w:rsid w:val="00B214B0"/>
    <w:rsid w:val="00B21653"/>
    <w:rsid w:val="00B218FB"/>
    <w:rsid w:val="00B21A06"/>
    <w:rsid w:val="00B21E51"/>
    <w:rsid w:val="00B21EFB"/>
    <w:rsid w:val="00B21F67"/>
    <w:rsid w:val="00B225C9"/>
    <w:rsid w:val="00B22734"/>
    <w:rsid w:val="00B22940"/>
    <w:rsid w:val="00B229B6"/>
    <w:rsid w:val="00B22BB4"/>
    <w:rsid w:val="00B22CC5"/>
    <w:rsid w:val="00B22D14"/>
    <w:rsid w:val="00B22DCB"/>
    <w:rsid w:val="00B2361B"/>
    <w:rsid w:val="00B23D55"/>
    <w:rsid w:val="00B23FB7"/>
    <w:rsid w:val="00B24985"/>
    <w:rsid w:val="00B24A2D"/>
    <w:rsid w:val="00B24EFE"/>
    <w:rsid w:val="00B2518A"/>
    <w:rsid w:val="00B25797"/>
    <w:rsid w:val="00B257F3"/>
    <w:rsid w:val="00B25821"/>
    <w:rsid w:val="00B25B72"/>
    <w:rsid w:val="00B267D6"/>
    <w:rsid w:val="00B26969"/>
    <w:rsid w:val="00B26CA5"/>
    <w:rsid w:val="00B27047"/>
    <w:rsid w:val="00B27386"/>
    <w:rsid w:val="00B278D9"/>
    <w:rsid w:val="00B27D0A"/>
    <w:rsid w:val="00B27EFB"/>
    <w:rsid w:val="00B30021"/>
    <w:rsid w:val="00B30189"/>
    <w:rsid w:val="00B30255"/>
    <w:rsid w:val="00B30816"/>
    <w:rsid w:val="00B30BD5"/>
    <w:rsid w:val="00B31041"/>
    <w:rsid w:val="00B3105B"/>
    <w:rsid w:val="00B31132"/>
    <w:rsid w:val="00B312EC"/>
    <w:rsid w:val="00B314EB"/>
    <w:rsid w:val="00B31834"/>
    <w:rsid w:val="00B3192A"/>
    <w:rsid w:val="00B31E03"/>
    <w:rsid w:val="00B31EF3"/>
    <w:rsid w:val="00B321FC"/>
    <w:rsid w:val="00B32229"/>
    <w:rsid w:val="00B32447"/>
    <w:rsid w:val="00B324C3"/>
    <w:rsid w:val="00B324ED"/>
    <w:rsid w:val="00B329C0"/>
    <w:rsid w:val="00B32B86"/>
    <w:rsid w:val="00B3300A"/>
    <w:rsid w:val="00B333CB"/>
    <w:rsid w:val="00B33503"/>
    <w:rsid w:val="00B3357B"/>
    <w:rsid w:val="00B335C9"/>
    <w:rsid w:val="00B33CF5"/>
    <w:rsid w:val="00B3402F"/>
    <w:rsid w:val="00B34682"/>
    <w:rsid w:val="00B34716"/>
    <w:rsid w:val="00B34766"/>
    <w:rsid w:val="00B34AC5"/>
    <w:rsid w:val="00B34C46"/>
    <w:rsid w:val="00B351AA"/>
    <w:rsid w:val="00B352B0"/>
    <w:rsid w:val="00B3530B"/>
    <w:rsid w:val="00B3538C"/>
    <w:rsid w:val="00B35678"/>
    <w:rsid w:val="00B35C87"/>
    <w:rsid w:val="00B36163"/>
    <w:rsid w:val="00B361AD"/>
    <w:rsid w:val="00B36357"/>
    <w:rsid w:val="00B3676E"/>
    <w:rsid w:val="00B367AD"/>
    <w:rsid w:val="00B36961"/>
    <w:rsid w:val="00B36A3D"/>
    <w:rsid w:val="00B36C35"/>
    <w:rsid w:val="00B36F5A"/>
    <w:rsid w:val="00B37056"/>
    <w:rsid w:val="00B370FB"/>
    <w:rsid w:val="00B3713D"/>
    <w:rsid w:val="00B37C1B"/>
    <w:rsid w:val="00B40004"/>
    <w:rsid w:val="00B4057E"/>
    <w:rsid w:val="00B4078B"/>
    <w:rsid w:val="00B407E9"/>
    <w:rsid w:val="00B40A97"/>
    <w:rsid w:val="00B40B2C"/>
    <w:rsid w:val="00B40B5D"/>
    <w:rsid w:val="00B4137C"/>
    <w:rsid w:val="00B4145A"/>
    <w:rsid w:val="00B416BC"/>
    <w:rsid w:val="00B4177C"/>
    <w:rsid w:val="00B41A02"/>
    <w:rsid w:val="00B41A70"/>
    <w:rsid w:val="00B41C13"/>
    <w:rsid w:val="00B41E74"/>
    <w:rsid w:val="00B41ED7"/>
    <w:rsid w:val="00B4212C"/>
    <w:rsid w:val="00B42589"/>
    <w:rsid w:val="00B4268A"/>
    <w:rsid w:val="00B42A38"/>
    <w:rsid w:val="00B42F73"/>
    <w:rsid w:val="00B42F7E"/>
    <w:rsid w:val="00B42FD5"/>
    <w:rsid w:val="00B4312A"/>
    <w:rsid w:val="00B4315E"/>
    <w:rsid w:val="00B43556"/>
    <w:rsid w:val="00B4384D"/>
    <w:rsid w:val="00B43EB4"/>
    <w:rsid w:val="00B440E7"/>
    <w:rsid w:val="00B453E3"/>
    <w:rsid w:val="00B4558C"/>
    <w:rsid w:val="00B45694"/>
    <w:rsid w:val="00B45F83"/>
    <w:rsid w:val="00B462F8"/>
    <w:rsid w:val="00B464A8"/>
    <w:rsid w:val="00B465DB"/>
    <w:rsid w:val="00B466EF"/>
    <w:rsid w:val="00B46B83"/>
    <w:rsid w:val="00B46C0A"/>
    <w:rsid w:val="00B46DE8"/>
    <w:rsid w:val="00B46E61"/>
    <w:rsid w:val="00B46F30"/>
    <w:rsid w:val="00B4716D"/>
    <w:rsid w:val="00B4726E"/>
    <w:rsid w:val="00B475F1"/>
    <w:rsid w:val="00B47E8B"/>
    <w:rsid w:val="00B5019F"/>
    <w:rsid w:val="00B5059C"/>
    <w:rsid w:val="00B50680"/>
    <w:rsid w:val="00B50A24"/>
    <w:rsid w:val="00B50DF9"/>
    <w:rsid w:val="00B50F07"/>
    <w:rsid w:val="00B50F47"/>
    <w:rsid w:val="00B51445"/>
    <w:rsid w:val="00B5167F"/>
    <w:rsid w:val="00B51980"/>
    <w:rsid w:val="00B51F0B"/>
    <w:rsid w:val="00B526F6"/>
    <w:rsid w:val="00B52EC6"/>
    <w:rsid w:val="00B532B6"/>
    <w:rsid w:val="00B5345E"/>
    <w:rsid w:val="00B537A6"/>
    <w:rsid w:val="00B538FC"/>
    <w:rsid w:val="00B53D5B"/>
    <w:rsid w:val="00B53DAA"/>
    <w:rsid w:val="00B53FDE"/>
    <w:rsid w:val="00B54606"/>
    <w:rsid w:val="00B54827"/>
    <w:rsid w:val="00B54903"/>
    <w:rsid w:val="00B549FC"/>
    <w:rsid w:val="00B54C8F"/>
    <w:rsid w:val="00B54D98"/>
    <w:rsid w:val="00B54FA8"/>
    <w:rsid w:val="00B55410"/>
    <w:rsid w:val="00B55486"/>
    <w:rsid w:val="00B55844"/>
    <w:rsid w:val="00B55B0B"/>
    <w:rsid w:val="00B55B6C"/>
    <w:rsid w:val="00B55FB3"/>
    <w:rsid w:val="00B55FD3"/>
    <w:rsid w:val="00B5615E"/>
    <w:rsid w:val="00B562BD"/>
    <w:rsid w:val="00B56365"/>
    <w:rsid w:val="00B564D3"/>
    <w:rsid w:val="00B568E6"/>
    <w:rsid w:val="00B56ACE"/>
    <w:rsid w:val="00B56B3C"/>
    <w:rsid w:val="00B56E66"/>
    <w:rsid w:val="00B5727C"/>
    <w:rsid w:val="00B57413"/>
    <w:rsid w:val="00B57452"/>
    <w:rsid w:val="00B57698"/>
    <w:rsid w:val="00B579C5"/>
    <w:rsid w:val="00B57AAC"/>
    <w:rsid w:val="00B57C4F"/>
    <w:rsid w:val="00B60346"/>
    <w:rsid w:val="00B6093A"/>
    <w:rsid w:val="00B6097A"/>
    <w:rsid w:val="00B60E2A"/>
    <w:rsid w:val="00B60E75"/>
    <w:rsid w:val="00B60FDC"/>
    <w:rsid w:val="00B6111C"/>
    <w:rsid w:val="00B61203"/>
    <w:rsid w:val="00B61323"/>
    <w:rsid w:val="00B6139F"/>
    <w:rsid w:val="00B619C8"/>
    <w:rsid w:val="00B61E68"/>
    <w:rsid w:val="00B62076"/>
    <w:rsid w:val="00B62282"/>
    <w:rsid w:val="00B622DC"/>
    <w:rsid w:val="00B624E6"/>
    <w:rsid w:val="00B62ADD"/>
    <w:rsid w:val="00B6349B"/>
    <w:rsid w:val="00B63B52"/>
    <w:rsid w:val="00B6413D"/>
    <w:rsid w:val="00B6416D"/>
    <w:rsid w:val="00B6435A"/>
    <w:rsid w:val="00B651BB"/>
    <w:rsid w:val="00B6539F"/>
    <w:rsid w:val="00B65C2E"/>
    <w:rsid w:val="00B65DC9"/>
    <w:rsid w:val="00B6604B"/>
    <w:rsid w:val="00B6607E"/>
    <w:rsid w:val="00B66263"/>
    <w:rsid w:val="00B664D2"/>
    <w:rsid w:val="00B665D9"/>
    <w:rsid w:val="00B669B1"/>
    <w:rsid w:val="00B66B72"/>
    <w:rsid w:val="00B66E35"/>
    <w:rsid w:val="00B66E8F"/>
    <w:rsid w:val="00B66EDC"/>
    <w:rsid w:val="00B66F4A"/>
    <w:rsid w:val="00B6722C"/>
    <w:rsid w:val="00B675BF"/>
    <w:rsid w:val="00B67846"/>
    <w:rsid w:val="00B67BA2"/>
    <w:rsid w:val="00B67F1B"/>
    <w:rsid w:val="00B70727"/>
    <w:rsid w:val="00B707CD"/>
    <w:rsid w:val="00B7081A"/>
    <w:rsid w:val="00B70A12"/>
    <w:rsid w:val="00B70AEC"/>
    <w:rsid w:val="00B715CB"/>
    <w:rsid w:val="00B718FC"/>
    <w:rsid w:val="00B71C3B"/>
    <w:rsid w:val="00B71FE8"/>
    <w:rsid w:val="00B721DD"/>
    <w:rsid w:val="00B722DB"/>
    <w:rsid w:val="00B72BAE"/>
    <w:rsid w:val="00B72E58"/>
    <w:rsid w:val="00B7326A"/>
    <w:rsid w:val="00B7330B"/>
    <w:rsid w:val="00B73380"/>
    <w:rsid w:val="00B73445"/>
    <w:rsid w:val="00B7351B"/>
    <w:rsid w:val="00B737FD"/>
    <w:rsid w:val="00B73960"/>
    <w:rsid w:val="00B740D2"/>
    <w:rsid w:val="00B74751"/>
    <w:rsid w:val="00B74B1F"/>
    <w:rsid w:val="00B74F03"/>
    <w:rsid w:val="00B751FE"/>
    <w:rsid w:val="00B75527"/>
    <w:rsid w:val="00B75677"/>
    <w:rsid w:val="00B75AD2"/>
    <w:rsid w:val="00B760DA"/>
    <w:rsid w:val="00B76225"/>
    <w:rsid w:val="00B768EB"/>
    <w:rsid w:val="00B76B22"/>
    <w:rsid w:val="00B76BC7"/>
    <w:rsid w:val="00B7713C"/>
    <w:rsid w:val="00B771E5"/>
    <w:rsid w:val="00B7724A"/>
    <w:rsid w:val="00B7725C"/>
    <w:rsid w:val="00B77293"/>
    <w:rsid w:val="00B77652"/>
    <w:rsid w:val="00B77851"/>
    <w:rsid w:val="00B77BE4"/>
    <w:rsid w:val="00B77D7A"/>
    <w:rsid w:val="00B802D7"/>
    <w:rsid w:val="00B80666"/>
    <w:rsid w:val="00B80685"/>
    <w:rsid w:val="00B807C6"/>
    <w:rsid w:val="00B80B0F"/>
    <w:rsid w:val="00B80B1D"/>
    <w:rsid w:val="00B80E04"/>
    <w:rsid w:val="00B819B5"/>
    <w:rsid w:val="00B819DD"/>
    <w:rsid w:val="00B81A5F"/>
    <w:rsid w:val="00B81B71"/>
    <w:rsid w:val="00B81C42"/>
    <w:rsid w:val="00B81C71"/>
    <w:rsid w:val="00B81E07"/>
    <w:rsid w:val="00B82190"/>
    <w:rsid w:val="00B82DFB"/>
    <w:rsid w:val="00B83BEA"/>
    <w:rsid w:val="00B8457B"/>
    <w:rsid w:val="00B84C5C"/>
    <w:rsid w:val="00B84ED3"/>
    <w:rsid w:val="00B8505B"/>
    <w:rsid w:val="00B852B0"/>
    <w:rsid w:val="00B853FE"/>
    <w:rsid w:val="00B85509"/>
    <w:rsid w:val="00B8550A"/>
    <w:rsid w:val="00B856B9"/>
    <w:rsid w:val="00B85AAC"/>
    <w:rsid w:val="00B85F63"/>
    <w:rsid w:val="00B869AD"/>
    <w:rsid w:val="00B86B7A"/>
    <w:rsid w:val="00B86C6F"/>
    <w:rsid w:val="00B86D77"/>
    <w:rsid w:val="00B871AF"/>
    <w:rsid w:val="00B87242"/>
    <w:rsid w:val="00B872E5"/>
    <w:rsid w:val="00B873C1"/>
    <w:rsid w:val="00B8745D"/>
    <w:rsid w:val="00B874D7"/>
    <w:rsid w:val="00B877FA"/>
    <w:rsid w:val="00B879A1"/>
    <w:rsid w:val="00B87F29"/>
    <w:rsid w:val="00B905CC"/>
    <w:rsid w:val="00B90A7E"/>
    <w:rsid w:val="00B90D6B"/>
    <w:rsid w:val="00B9158E"/>
    <w:rsid w:val="00B91BCC"/>
    <w:rsid w:val="00B91D7D"/>
    <w:rsid w:val="00B91D99"/>
    <w:rsid w:val="00B9209A"/>
    <w:rsid w:val="00B921FE"/>
    <w:rsid w:val="00B92278"/>
    <w:rsid w:val="00B9250D"/>
    <w:rsid w:val="00B925B9"/>
    <w:rsid w:val="00B92672"/>
    <w:rsid w:val="00B927D9"/>
    <w:rsid w:val="00B92BC0"/>
    <w:rsid w:val="00B93117"/>
    <w:rsid w:val="00B93402"/>
    <w:rsid w:val="00B93821"/>
    <w:rsid w:val="00B93ED0"/>
    <w:rsid w:val="00B93F9D"/>
    <w:rsid w:val="00B94479"/>
    <w:rsid w:val="00B9455E"/>
    <w:rsid w:val="00B94A1C"/>
    <w:rsid w:val="00B94B6B"/>
    <w:rsid w:val="00B94FB2"/>
    <w:rsid w:val="00B95257"/>
    <w:rsid w:val="00B95506"/>
    <w:rsid w:val="00B956EE"/>
    <w:rsid w:val="00B95A8B"/>
    <w:rsid w:val="00B95CE3"/>
    <w:rsid w:val="00B96474"/>
    <w:rsid w:val="00B964FB"/>
    <w:rsid w:val="00B96567"/>
    <w:rsid w:val="00B9659F"/>
    <w:rsid w:val="00B967D8"/>
    <w:rsid w:val="00B969B8"/>
    <w:rsid w:val="00B96E5D"/>
    <w:rsid w:val="00B97018"/>
    <w:rsid w:val="00B972AB"/>
    <w:rsid w:val="00B974C6"/>
    <w:rsid w:val="00B97BAC"/>
    <w:rsid w:val="00B97CB0"/>
    <w:rsid w:val="00BA01E5"/>
    <w:rsid w:val="00BA0997"/>
    <w:rsid w:val="00BA0A3D"/>
    <w:rsid w:val="00BA0E74"/>
    <w:rsid w:val="00BA15F5"/>
    <w:rsid w:val="00BA1637"/>
    <w:rsid w:val="00BA18CF"/>
    <w:rsid w:val="00BA1CDF"/>
    <w:rsid w:val="00BA1E51"/>
    <w:rsid w:val="00BA1E85"/>
    <w:rsid w:val="00BA2CC4"/>
    <w:rsid w:val="00BA2D1B"/>
    <w:rsid w:val="00BA32E0"/>
    <w:rsid w:val="00BA3700"/>
    <w:rsid w:val="00BA378D"/>
    <w:rsid w:val="00BA3943"/>
    <w:rsid w:val="00BA3D2F"/>
    <w:rsid w:val="00BA4D3F"/>
    <w:rsid w:val="00BA4F19"/>
    <w:rsid w:val="00BA569F"/>
    <w:rsid w:val="00BA5C1D"/>
    <w:rsid w:val="00BA5D84"/>
    <w:rsid w:val="00BA60D5"/>
    <w:rsid w:val="00BA6839"/>
    <w:rsid w:val="00BA68FF"/>
    <w:rsid w:val="00BA6C1F"/>
    <w:rsid w:val="00BA6DBA"/>
    <w:rsid w:val="00BA74A3"/>
    <w:rsid w:val="00BA78CE"/>
    <w:rsid w:val="00BA79D4"/>
    <w:rsid w:val="00BA7DAB"/>
    <w:rsid w:val="00BA7E8C"/>
    <w:rsid w:val="00BB0195"/>
    <w:rsid w:val="00BB022E"/>
    <w:rsid w:val="00BB03BD"/>
    <w:rsid w:val="00BB0670"/>
    <w:rsid w:val="00BB071A"/>
    <w:rsid w:val="00BB080D"/>
    <w:rsid w:val="00BB081E"/>
    <w:rsid w:val="00BB0E78"/>
    <w:rsid w:val="00BB0F7C"/>
    <w:rsid w:val="00BB1389"/>
    <w:rsid w:val="00BB1662"/>
    <w:rsid w:val="00BB18FC"/>
    <w:rsid w:val="00BB1D99"/>
    <w:rsid w:val="00BB1EEB"/>
    <w:rsid w:val="00BB2566"/>
    <w:rsid w:val="00BB2710"/>
    <w:rsid w:val="00BB2AD3"/>
    <w:rsid w:val="00BB2D4F"/>
    <w:rsid w:val="00BB2E08"/>
    <w:rsid w:val="00BB31BE"/>
    <w:rsid w:val="00BB325E"/>
    <w:rsid w:val="00BB32B6"/>
    <w:rsid w:val="00BB38CE"/>
    <w:rsid w:val="00BB3AFB"/>
    <w:rsid w:val="00BB3B6B"/>
    <w:rsid w:val="00BB3BF3"/>
    <w:rsid w:val="00BB3CFA"/>
    <w:rsid w:val="00BB416A"/>
    <w:rsid w:val="00BB46C9"/>
    <w:rsid w:val="00BB46DA"/>
    <w:rsid w:val="00BB48ED"/>
    <w:rsid w:val="00BB4B48"/>
    <w:rsid w:val="00BB4D85"/>
    <w:rsid w:val="00BB4E42"/>
    <w:rsid w:val="00BB533B"/>
    <w:rsid w:val="00BB53ED"/>
    <w:rsid w:val="00BB5685"/>
    <w:rsid w:val="00BB5C70"/>
    <w:rsid w:val="00BB6634"/>
    <w:rsid w:val="00BB79CC"/>
    <w:rsid w:val="00BB7E07"/>
    <w:rsid w:val="00BC0044"/>
    <w:rsid w:val="00BC025C"/>
    <w:rsid w:val="00BC05D6"/>
    <w:rsid w:val="00BC0B9A"/>
    <w:rsid w:val="00BC0C7E"/>
    <w:rsid w:val="00BC0C96"/>
    <w:rsid w:val="00BC0E47"/>
    <w:rsid w:val="00BC0EC0"/>
    <w:rsid w:val="00BC0F00"/>
    <w:rsid w:val="00BC1093"/>
    <w:rsid w:val="00BC1578"/>
    <w:rsid w:val="00BC16F0"/>
    <w:rsid w:val="00BC1803"/>
    <w:rsid w:val="00BC1861"/>
    <w:rsid w:val="00BC1933"/>
    <w:rsid w:val="00BC1CF1"/>
    <w:rsid w:val="00BC210E"/>
    <w:rsid w:val="00BC2D1C"/>
    <w:rsid w:val="00BC37EC"/>
    <w:rsid w:val="00BC38D1"/>
    <w:rsid w:val="00BC3A5D"/>
    <w:rsid w:val="00BC3B71"/>
    <w:rsid w:val="00BC410A"/>
    <w:rsid w:val="00BC4580"/>
    <w:rsid w:val="00BC46CA"/>
    <w:rsid w:val="00BC47C4"/>
    <w:rsid w:val="00BC483C"/>
    <w:rsid w:val="00BC4917"/>
    <w:rsid w:val="00BC4BB1"/>
    <w:rsid w:val="00BC4CF6"/>
    <w:rsid w:val="00BC5164"/>
    <w:rsid w:val="00BC5272"/>
    <w:rsid w:val="00BC5BA3"/>
    <w:rsid w:val="00BC5E43"/>
    <w:rsid w:val="00BC6391"/>
    <w:rsid w:val="00BC64BC"/>
    <w:rsid w:val="00BC655D"/>
    <w:rsid w:val="00BC6881"/>
    <w:rsid w:val="00BC6F2E"/>
    <w:rsid w:val="00BC7951"/>
    <w:rsid w:val="00BC7FC6"/>
    <w:rsid w:val="00BD0A90"/>
    <w:rsid w:val="00BD0D1F"/>
    <w:rsid w:val="00BD0E2C"/>
    <w:rsid w:val="00BD11A1"/>
    <w:rsid w:val="00BD152D"/>
    <w:rsid w:val="00BD187F"/>
    <w:rsid w:val="00BD19FA"/>
    <w:rsid w:val="00BD1AB6"/>
    <w:rsid w:val="00BD1CDF"/>
    <w:rsid w:val="00BD1D0E"/>
    <w:rsid w:val="00BD1DEF"/>
    <w:rsid w:val="00BD1F49"/>
    <w:rsid w:val="00BD2409"/>
    <w:rsid w:val="00BD2F6C"/>
    <w:rsid w:val="00BD3A66"/>
    <w:rsid w:val="00BD3E32"/>
    <w:rsid w:val="00BD44DF"/>
    <w:rsid w:val="00BD4DA1"/>
    <w:rsid w:val="00BD517F"/>
    <w:rsid w:val="00BD54A4"/>
    <w:rsid w:val="00BD58E5"/>
    <w:rsid w:val="00BD5931"/>
    <w:rsid w:val="00BD5DD3"/>
    <w:rsid w:val="00BD5F4B"/>
    <w:rsid w:val="00BD5F51"/>
    <w:rsid w:val="00BD61DE"/>
    <w:rsid w:val="00BD6D29"/>
    <w:rsid w:val="00BD73FE"/>
    <w:rsid w:val="00BD7407"/>
    <w:rsid w:val="00BD7619"/>
    <w:rsid w:val="00BD77CB"/>
    <w:rsid w:val="00BD7D4D"/>
    <w:rsid w:val="00BD7EFB"/>
    <w:rsid w:val="00BE0265"/>
    <w:rsid w:val="00BE0A46"/>
    <w:rsid w:val="00BE0B60"/>
    <w:rsid w:val="00BE0C11"/>
    <w:rsid w:val="00BE0F15"/>
    <w:rsid w:val="00BE13A1"/>
    <w:rsid w:val="00BE2410"/>
    <w:rsid w:val="00BE268C"/>
    <w:rsid w:val="00BE2BFC"/>
    <w:rsid w:val="00BE2FC8"/>
    <w:rsid w:val="00BE30A3"/>
    <w:rsid w:val="00BE33FA"/>
    <w:rsid w:val="00BE3483"/>
    <w:rsid w:val="00BE37C3"/>
    <w:rsid w:val="00BE38FE"/>
    <w:rsid w:val="00BE3F97"/>
    <w:rsid w:val="00BE4968"/>
    <w:rsid w:val="00BE5367"/>
    <w:rsid w:val="00BE5514"/>
    <w:rsid w:val="00BE5637"/>
    <w:rsid w:val="00BE56A6"/>
    <w:rsid w:val="00BE577A"/>
    <w:rsid w:val="00BE57A0"/>
    <w:rsid w:val="00BE5A38"/>
    <w:rsid w:val="00BE5A80"/>
    <w:rsid w:val="00BE638B"/>
    <w:rsid w:val="00BE653B"/>
    <w:rsid w:val="00BE66F2"/>
    <w:rsid w:val="00BE6A12"/>
    <w:rsid w:val="00BE6AE3"/>
    <w:rsid w:val="00BE71C1"/>
    <w:rsid w:val="00BE7481"/>
    <w:rsid w:val="00BE7562"/>
    <w:rsid w:val="00BE7744"/>
    <w:rsid w:val="00BE7B7B"/>
    <w:rsid w:val="00BF0105"/>
    <w:rsid w:val="00BF02F0"/>
    <w:rsid w:val="00BF03EF"/>
    <w:rsid w:val="00BF04D6"/>
    <w:rsid w:val="00BF05B4"/>
    <w:rsid w:val="00BF07ED"/>
    <w:rsid w:val="00BF09B9"/>
    <w:rsid w:val="00BF0C08"/>
    <w:rsid w:val="00BF1794"/>
    <w:rsid w:val="00BF1795"/>
    <w:rsid w:val="00BF17CB"/>
    <w:rsid w:val="00BF1EC9"/>
    <w:rsid w:val="00BF2D6D"/>
    <w:rsid w:val="00BF35D4"/>
    <w:rsid w:val="00BF389C"/>
    <w:rsid w:val="00BF3900"/>
    <w:rsid w:val="00BF3A48"/>
    <w:rsid w:val="00BF43F5"/>
    <w:rsid w:val="00BF452F"/>
    <w:rsid w:val="00BF4703"/>
    <w:rsid w:val="00BF478C"/>
    <w:rsid w:val="00BF47C8"/>
    <w:rsid w:val="00BF4B95"/>
    <w:rsid w:val="00BF4B97"/>
    <w:rsid w:val="00BF53D5"/>
    <w:rsid w:val="00BF55A6"/>
    <w:rsid w:val="00BF5603"/>
    <w:rsid w:val="00BF5A3E"/>
    <w:rsid w:val="00BF62ED"/>
    <w:rsid w:val="00BF6C6D"/>
    <w:rsid w:val="00BF6E1B"/>
    <w:rsid w:val="00BF7450"/>
    <w:rsid w:val="00BF7F1F"/>
    <w:rsid w:val="00BF7F20"/>
    <w:rsid w:val="00BF7F7B"/>
    <w:rsid w:val="00C00017"/>
    <w:rsid w:val="00C0023E"/>
    <w:rsid w:val="00C00336"/>
    <w:rsid w:val="00C006CD"/>
    <w:rsid w:val="00C0088F"/>
    <w:rsid w:val="00C00975"/>
    <w:rsid w:val="00C009B6"/>
    <w:rsid w:val="00C00C88"/>
    <w:rsid w:val="00C00E99"/>
    <w:rsid w:val="00C014FD"/>
    <w:rsid w:val="00C017BE"/>
    <w:rsid w:val="00C01B76"/>
    <w:rsid w:val="00C023B9"/>
    <w:rsid w:val="00C0242B"/>
    <w:rsid w:val="00C02978"/>
    <w:rsid w:val="00C02CB8"/>
    <w:rsid w:val="00C02EB9"/>
    <w:rsid w:val="00C03150"/>
    <w:rsid w:val="00C03366"/>
    <w:rsid w:val="00C0354F"/>
    <w:rsid w:val="00C03774"/>
    <w:rsid w:val="00C0396E"/>
    <w:rsid w:val="00C03EA0"/>
    <w:rsid w:val="00C045E3"/>
    <w:rsid w:val="00C046CD"/>
    <w:rsid w:val="00C04C31"/>
    <w:rsid w:val="00C04D78"/>
    <w:rsid w:val="00C04DA0"/>
    <w:rsid w:val="00C052A2"/>
    <w:rsid w:val="00C05621"/>
    <w:rsid w:val="00C056B8"/>
    <w:rsid w:val="00C05B0F"/>
    <w:rsid w:val="00C05DD8"/>
    <w:rsid w:val="00C06145"/>
    <w:rsid w:val="00C06603"/>
    <w:rsid w:val="00C06894"/>
    <w:rsid w:val="00C069D1"/>
    <w:rsid w:val="00C06DD2"/>
    <w:rsid w:val="00C06EBD"/>
    <w:rsid w:val="00C071D3"/>
    <w:rsid w:val="00C07D0A"/>
    <w:rsid w:val="00C07E91"/>
    <w:rsid w:val="00C07F2D"/>
    <w:rsid w:val="00C1078D"/>
    <w:rsid w:val="00C10817"/>
    <w:rsid w:val="00C10BA5"/>
    <w:rsid w:val="00C10F43"/>
    <w:rsid w:val="00C111DC"/>
    <w:rsid w:val="00C111E4"/>
    <w:rsid w:val="00C1133A"/>
    <w:rsid w:val="00C11533"/>
    <w:rsid w:val="00C116AE"/>
    <w:rsid w:val="00C116CB"/>
    <w:rsid w:val="00C11B8F"/>
    <w:rsid w:val="00C11BA1"/>
    <w:rsid w:val="00C11C7F"/>
    <w:rsid w:val="00C11F20"/>
    <w:rsid w:val="00C12091"/>
    <w:rsid w:val="00C1253A"/>
    <w:rsid w:val="00C126D0"/>
    <w:rsid w:val="00C12B1A"/>
    <w:rsid w:val="00C12C29"/>
    <w:rsid w:val="00C12E12"/>
    <w:rsid w:val="00C13197"/>
    <w:rsid w:val="00C134F3"/>
    <w:rsid w:val="00C13672"/>
    <w:rsid w:val="00C13973"/>
    <w:rsid w:val="00C13975"/>
    <w:rsid w:val="00C13A40"/>
    <w:rsid w:val="00C13BB4"/>
    <w:rsid w:val="00C14427"/>
    <w:rsid w:val="00C148F3"/>
    <w:rsid w:val="00C14BE6"/>
    <w:rsid w:val="00C14C80"/>
    <w:rsid w:val="00C15950"/>
    <w:rsid w:val="00C15F23"/>
    <w:rsid w:val="00C16645"/>
    <w:rsid w:val="00C16919"/>
    <w:rsid w:val="00C169DB"/>
    <w:rsid w:val="00C16CFC"/>
    <w:rsid w:val="00C170B2"/>
    <w:rsid w:val="00C1716E"/>
    <w:rsid w:val="00C1745A"/>
    <w:rsid w:val="00C1748B"/>
    <w:rsid w:val="00C174E7"/>
    <w:rsid w:val="00C17699"/>
    <w:rsid w:val="00C1783D"/>
    <w:rsid w:val="00C17E74"/>
    <w:rsid w:val="00C20021"/>
    <w:rsid w:val="00C2043A"/>
    <w:rsid w:val="00C208FA"/>
    <w:rsid w:val="00C20F84"/>
    <w:rsid w:val="00C21442"/>
    <w:rsid w:val="00C21755"/>
    <w:rsid w:val="00C21A34"/>
    <w:rsid w:val="00C21A50"/>
    <w:rsid w:val="00C21AF6"/>
    <w:rsid w:val="00C21BDA"/>
    <w:rsid w:val="00C21CBE"/>
    <w:rsid w:val="00C21DA6"/>
    <w:rsid w:val="00C2291C"/>
    <w:rsid w:val="00C22E21"/>
    <w:rsid w:val="00C230BB"/>
    <w:rsid w:val="00C23976"/>
    <w:rsid w:val="00C23B06"/>
    <w:rsid w:val="00C23D0E"/>
    <w:rsid w:val="00C23DD9"/>
    <w:rsid w:val="00C23FA5"/>
    <w:rsid w:val="00C23FE3"/>
    <w:rsid w:val="00C24391"/>
    <w:rsid w:val="00C24441"/>
    <w:rsid w:val="00C25B5B"/>
    <w:rsid w:val="00C25CAC"/>
    <w:rsid w:val="00C25EC0"/>
    <w:rsid w:val="00C26025"/>
    <w:rsid w:val="00C261E4"/>
    <w:rsid w:val="00C2630C"/>
    <w:rsid w:val="00C266B9"/>
    <w:rsid w:val="00C26756"/>
    <w:rsid w:val="00C26B08"/>
    <w:rsid w:val="00C26C4D"/>
    <w:rsid w:val="00C26E3D"/>
    <w:rsid w:val="00C2724E"/>
    <w:rsid w:val="00C276D3"/>
    <w:rsid w:val="00C27AAE"/>
    <w:rsid w:val="00C27B42"/>
    <w:rsid w:val="00C27C47"/>
    <w:rsid w:val="00C27D2A"/>
    <w:rsid w:val="00C27DA3"/>
    <w:rsid w:val="00C303B3"/>
    <w:rsid w:val="00C30478"/>
    <w:rsid w:val="00C30812"/>
    <w:rsid w:val="00C31208"/>
    <w:rsid w:val="00C31321"/>
    <w:rsid w:val="00C31520"/>
    <w:rsid w:val="00C3193A"/>
    <w:rsid w:val="00C31A72"/>
    <w:rsid w:val="00C31BD4"/>
    <w:rsid w:val="00C31E37"/>
    <w:rsid w:val="00C31F64"/>
    <w:rsid w:val="00C320C6"/>
    <w:rsid w:val="00C322C7"/>
    <w:rsid w:val="00C32638"/>
    <w:rsid w:val="00C32B23"/>
    <w:rsid w:val="00C32BBA"/>
    <w:rsid w:val="00C32F93"/>
    <w:rsid w:val="00C3305C"/>
    <w:rsid w:val="00C33EE0"/>
    <w:rsid w:val="00C34173"/>
    <w:rsid w:val="00C34197"/>
    <w:rsid w:val="00C3469B"/>
    <w:rsid w:val="00C3523D"/>
    <w:rsid w:val="00C3531A"/>
    <w:rsid w:val="00C356A7"/>
    <w:rsid w:val="00C357FF"/>
    <w:rsid w:val="00C35A9E"/>
    <w:rsid w:val="00C35AE0"/>
    <w:rsid w:val="00C35CA0"/>
    <w:rsid w:val="00C35F6F"/>
    <w:rsid w:val="00C35FCB"/>
    <w:rsid w:val="00C35FF5"/>
    <w:rsid w:val="00C360E5"/>
    <w:rsid w:val="00C36217"/>
    <w:rsid w:val="00C36563"/>
    <w:rsid w:val="00C36B53"/>
    <w:rsid w:val="00C36DB2"/>
    <w:rsid w:val="00C37035"/>
    <w:rsid w:val="00C3719E"/>
    <w:rsid w:val="00C37D1E"/>
    <w:rsid w:val="00C37D8F"/>
    <w:rsid w:val="00C37E95"/>
    <w:rsid w:val="00C37EA5"/>
    <w:rsid w:val="00C4015C"/>
    <w:rsid w:val="00C40337"/>
    <w:rsid w:val="00C40656"/>
    <w:rsid w:val="00C4076B"/>
    <w:rsid w:val="00C407B1"/>
    <w:rsid w:val="00C4110D"/>
    <w:rsid w:val="00C4117B"/>
    <w:rsid w:val="00C4128E"/>
    <w:rsid w:val="00C418DF"/>
    <w:rsid w:val="00C41AA6"/>
    <w:rsid w:val="00C41B50"/>
    <w:rsid w:val="00C41C82"/>
    <w:rsid w:val="00C41CF4"/>
    <w:rsid w:val="00C41FA5"/>
    <w:rsid w:val="00C421A7"/>
    <w:rsid w:val="00C4279D"/>
    <w:rsid w:val="00C42809"/>
    <w:rsid w:val="00C42972"/>
    <w:rsid w:val="00C42FBE"/>
    <w:rsid w:val="00C439CD"/>
    <w:rsid w:val="00C43BFE"/>
    <w:rsid w:val="00C44234"/>
    <w:rsid w:val="00C442B4"/>
    <w:rsid w:val="00C44367"/>
    <w:rsid w:val="00C44440"/>
    <w:rsid w:val="00C4466A"/>
    <w:rsid w:val="00C44C2C"/>
    <w:rsid w:val="00C45012"/>
    <w:rsid w:val="00C450A0"/>
    <w:rsid w:val="00C450A3"/>
    <w:rsid w:val="00C4511E"/>
    <w:rsid w:val="00C45511"/>
    <w:rsid w:val="00C45952"/>
    <w:rsid w:val="00C45A73"/>
    <w:rsid w:val="00C45B2F"/>
    <w:rsid w:val="00C45CA4"/>
    <w:rsid w:val="00C4645F"/>
    <w:rsid w:val="00C469CA"/>
    <w:rsid w:val="00C47037"/>
    <w:rsid w:val="00C4719C"/>
    <w:rsid w:val="00C471FF"/>
    <w:rsid w:val="00C47540"/>
    <w:rsid w:val="00C47997"/>
    <w:rsid w:val="00C47B76"/>
    <w:rsid w:val="00C47BE7"/>
    <w:rsid w:val="00C47CF7"/>
    <w:rsid w:val="00C47E9E"/>
    <w:rsid w:val="00C5008D"/>
    <w:rsid w:val="00C50560"/>
    <w:rsid w:val="00C506F1"/>
    <w:rsid w:val="00C50968"/>
    <w:rsid w:val="00C510BD"/>
    <w:rsid w:val="00C51625"/>
    <w:rsid w:val="00C516AA"/>
    <w:rsid w:val="00C51EE4"/>
    <w:rsid w:val="00C52035"/>
    <w:rsid w:val="00C5212B"/>
    <w:rsid w:val="00C5237D"/>
    <w:rsid w:val="00C52823"/>
    <w:rsid w:val="00C52B1E"/>
    <w:rsid w:val="00C538DC"/>
    <w:rsid w:val="00C53DAF"/>
    <w:rsid w:val="00C53E4A"/>
    <w:rsid w:val="00C53F70"/>
    <w:rsid w:val="00C53F7B"/>
    <w:rsid w:val="00C5418E"/>
    <w:rsid w:val="00C5427A"/>
    <w:rsid w:val="00C5484D"/>
    <w:rsid w:val="00C549A9"/>
    <w:rsid w:val="00C549C8"/>
    <w:rsid w:val="00C549CC"/>
    <w:rsid w:val="00C54AF1"/>
    <w:rsid w:val="00C54FAD"/>
    <w:rsid w:val="00C55242"/>
    <w:rsid w:val="00C553E1"/>
    <w:rsid w:val="00C55856"/>
    <w:rsid w:val="00C55BAF"/>
    <w:rsid w:val="00C55D60"/>
    <w:rsid w:val="00C55E00"/>
    <w:rsid w:val="00C55EA0"/>
    <w:rsid w:val="00C56441"/>
    <w:rsid w:val="00C564F7"/>
    <w:rsid w:val="00C5655C"/>
    <w:rsid w:val="00C56FA5"/>
    <w:rsid w:val="00C56FB4"/>
    <w:rsid w:val="00C57694"/>
    <w:rsid w:val="00C6045B"/>
    <w:rsid w:val="00C60895"/>
    <w:rsid w:val="00C60DD3"/>
    <w:rsid w:val="00C6104B"/>
    <w:rsid w:val="00C612FC"/>
    <w:rsid w:val="00C6166A"/>
    <w:rsid w:val="00C616E1"/>
    <w:rsid w:val="00C61ACE"/>
    <w:rsid w:val="00C61D37"/>
    <w:rsid w:val="00C61EAE"/>
    <w:rsid w:val="00C62712"/>
    <w:rsid w:val="00C62836"/>
    <w:rsid w:val="00C62A28"/>
    <w:rsid w:val="00C62D85"/>
    <w:rsid w:val="00C637AD"/>
    <w:rsid w:val="00C63850"/>
    <w:rsid w:val="00C63A15"/>
    <w:rsid w:val="00C63A89"/>
    <w:rsid w:val="00C64CE0"/>
    <w:rsid w:val="00C654AF"/>
    <w:rsid w:val="00C6552D"/>
    <w:rsid w:val="00C65A10"/>
    <w:rsid w:val="00C65E79"/>
    <w:rsid w:val="00C65EE3"/>
    <w:rsid w:val="00C66000"/>
    <w:rsid w:val="00C6655D"/>
    <w:rsid w:val="00C6673B"/>
    <w:rsid w:val="00C66C30"/>
    <w:rsid w:val="00C66D46"/>
    <w:rsid w:val="00C671E0"/>
    <w:rsid w:val="00C676FA"/>
    <w:rsid w:val="00C67710"/>
    <w:rsid w:val="00C67FF4"/>
    <w:rsid w:val="00C701AC"/>
    <w:rsid w:val="00C70309"/>
    <w:rsid w:val="00C70340"/>
    <w:rsid w:val="00C7055A"/>
    <w:rsid w:val="00C706D6"/>
    <w:rsid w:val="00C710CB"/>
    <w:rsid w:val="00C71167"/>
    <w:rsid w:val="00C71229"/>
    <w:rsid w:val="00C71A0F"/>
    <w:rsid w:val="00C71C0F"/>
    <w:rsid w:val="00C71D90"/>
    <w:rsid w:val="00C71E43"/>
    <w:rsid w:val="00C73014"/>
    <w:rsid w:val="00C732B2"/>
    <w:rsid w:val="00C73442"/>
    <w:rsid w:val="00C734F1"/>
    <w:rsid w:val="00C735F8"/>
    <w:rsid w:val="00C73776"/>
    <w:rsid w:val="00C73862"/>
    <w:rsid w:val="00C743CC"/>
    <w:rsid w:val="00C744CF"/>
    <w:rsid w:val="00C745FD"/>
    <w:rsid w:val="00C747A8"/>
    <w:rsid w:val="00C749C0"/>
    <w:rsid w:val="00C74B67"/>
    <w:rsid w:val="00C74E64"/>
    <w:rsid w:val="00C74F86"/>
    <w:rsid w:val="00C75032"/>
    <w:rsid w:val="00C75580"/>
    <w:rsid w:val="00C75AA6"/>
    <w:rsid w:val="00C75B93"/>
    <w:rsid w:val="00C75C27"/>
    <w:rsid w:val="00C75F10"/>
    <w:rsid w:val="00C76184"/>
    <w:rsid w:val="00C764C4"/>
    <w:rsid w:val="00C76626"/>
    <w:rsid w:val="00C76CE8"/>
    <w:rsid w:val="00C76FE3"/>
    <w:rsid w:val="00C776E7"/>
    <w:rsid w:val="00C77B4F"/>
    <w:rsid w:val="00C77CEE"/>
    <w:rsid w:val="00C77DD4"/>
    <w:rsid w:val="00C77F49"/>
    <w:rsid w:val="00C8051F"/>
    <w:rsid w:val="00C80800"/>
    <w:rsid w:val="00C80D32"/>
    <w:rsid w:val="00C80FBB"/>
    <w:rsid w:val="00C810D6"/>
    <w:rsid w:val="00C814DC"/>
    <w:rsid w:val="00C81537"/>
    <w:rsid w:val="00C81897"/>
    <w:rsid w:val="00C81D0F"/>
    <w:rsid w:val="00C82046"/>
    <w:rsid w:val="00C82402"/>
    <w:rsid w:val="00C826DD"/>
    <w:rsid w:val="00C82CCC"/>
    <w:rsid w:val="00C82D41"/>
    <w:rsid w:val="00C83071"/>
    <w:rsid w:val="00C83756"/>
    <w:rsid w:val="00C83CAD"/>
    <w:rsid w:val="00C841FC"/>
    <w:rsid w:val="00C8455C"/>
    <w:rsid w:val="00C84625"/>
    <w:rsid w:val="00C84A57"/>
    <w:rsid w:val="00C85050"/>
    <w:rsid w:val="00C850C1"/>
    <w:rsid w:val="00C856E8"/>
    <w:rsid w:val="00C85B54"/>
    <w:rsid w:val="00C85E49"/>
    <w:rsid w:val="00C85E7C"/>
    <w:rsid w:val="00C862CA"/>
    <w:rsid w:val="00C863B0"/>
    <w:rsid w:val="00C865C0"/>
    <w:rsid w:val="00C867F6"/>
    <w:rsid w:val="00C86856"/>
    <w:rsid w:val="00C86959"/>
    <w:rsid w:val="00C86F97"/>
    <w:rsid w:val="00C873DE"/>
    <w:rsid w:val="00C873ED"/>
    <w:rsid w:val="00C87760"/>
    <w:rsid w:val="00C87EC3"/>
    <w:rsid w:val="00C90114"/>
    <w:rsid w:val="00C903FD"/>
    <w:rsid w:val="00C908D7"/>
    <w:rsid w:val="00C908FD"/>
    <w:rsid w:val="00C90AE4"/>
    <w:rsid w:val="00C90E8D"/>
    <w:rsid w:val="00C912E3"/>
    <w:rsid w:val="00C91501"/>
    <w:rsid w:val="00C91EAF"/>
    <w:rsid w:val="00C92047"/>
    <w:rsid w:val="00C928FA"/>
    <w:rsid w:val="00C9294C"/>
    <w:rsid w:val="00C92B4A"/>
    <w:rsid w:val="00C92C95"/>
    <w:rsid w:val="00C92E25"/>
    <w:rsid w:val="00C92E47"/>
    <w:rsid w:val="00C92FD1"/>
    <w:rsid w:val="00C93122"/>
    <w:rsid w:val="00C93303"/>
    <w:rsid w:val="00C9353D"/>
    <w:rsid w:val="00C93724"/>
    <w:rsid w:val="00C938C3"/>
    <w:rsid w:val="00C93938"/>
    <w:rsid w:val="00C939C3"/>
    <w:rsid w:val="00C93BFD"/>
    <w:rsid w:val="00C94288"/>
    <w:rsid w:val="00C94426"/>
    <w:rsid w:val="00C9453C"/>
    <w:rsid w:val="00C945CE"/>
    <w:rsid w:val="00C94728"/>
    <w:rsid w:val="00C94CA0"/>
    <w:rsid w:val="00C94D73"/>
    <w:rsid w:val="00C955A7"/>
    <w:rsid w:val="00C957E1"/>
    <w:rsid w:val="00C9586D"/>
    <w:rsid w:val="00C95889"/>
    <w:rsid w:val="00C958A4"/>
    <w:rsid w:val="00C96399"/>
    <w:rsid w:val="00C963A0"/>
    <w:rsid w:val="00C96492"/>
    <w:rsid w:val="00C96734"/>
    <w:rsid w:val="00C96A5F"/>
    <w:rsid w:val="00C96A65"/>
    <w:rsid w:val="00C96B17"/>
    <w:rsid w:val="00C96D3E"/>
    <w:rsid w:val="00C96E38"/>
    <w:rsid w:val="00C96E60"/>
    <w:rsid w:val="00C97164"/>
    <w:rsid w:val="00C97761"/>
    <w:rsid w:val="00C977E6"/>
    <w:rsid w:val="00C97A31"/>
    <w:rsid w:val="00C97C59"/>
    <w:rsid w:val="00C97D96"/>
    <w:rsid w:val="00CA0728"/>
    <w:rsid w:val="00CA0A1D"/>
    <w:rsid w:val="00CA110F"/>
    <w:rsid w:val="00CA124D"/>
    <w:rsid w:val="00CA13E3"/>
    <w:rsid w:val="00CA1581"/>
    <w:rsid w:val="00CA16D8"/>
    <w:rsid w:val="00CA17A5"/>
    <w:rsid w:val="00CA1E5C"/>
    <w:rsid w:val="00CA1EA8"/>
    <w:rsid w:val="00CA264E"/>
    <w:rsid w:val="00CA26FB"/>
    <w:rsid w:val="00CA278B"/>
    <w:rsid w:val="00CA28B0"/>
    <w:rsid w:val="00CA28C5"/>
    <w:rsid w:val="00CA2BB3"/>
    <w:rsid w:val="00CA3639"/>
    <w:rsid w:val="00CA3F70"/>
    <w:rsid w:val="00CA3FF9"/>
    <w:rsid w:val="00CA42CB"/>
    <w:rsid w:val="00CA491F"/>
    <w:rsid w:val="00CA4C5F"/>
    <w:rsid w:val="00CA5141"/>
    <w:rsid w:val="00CA528F"/>
    <w:rsid w:val="00CA57D2"/>
    <w:rsid w:val="00CA58E4"/>
    <w:rsid w:val="00CA5980"/>
    <w:rsid w:val="00CA5998"/>
    <w:rsid w:val="00CA5D07"/>
    <w:rsid w:val="00CA646C"/>
    <w:rsid w:val="00CA647B"/>
    <w:rsid w:val="00CA6683"/>
    <w:rsid w:val="00CA6AB6"/>
    <w:rsid w:val="00CA72E2"/>
    <w:rsid w:val="00CA7367"/>
    <w:rsid w:val="00CA745E"/>
    <w:rsid w:val="00CA772D"/>
    <w:rsid w:val="00CA77FE"/>
    <w:rsid w:val="00CA7851"/>
    <w:rsid w:val="00CA7E12"/>
    <w:rsid w:val="00CA7E1A"/>
    <w:rsid w:val="00CB0051"/>
    <w:rsid w:val="00CB0123"/>
    <w:rsid w:val="00CB08BB"/>
    <w:rsid w:val="00CB09F9"/>
    <w:rsid w:val="00CB0CBD"/>
    <w:rsid w:val="00CB0CF8"/>
    <w:rsid w:val="00CB0FE3"/>
    <w:rsid w:val="00CB1241"/>
    <w:rsid w:val="00CB13A6"/>
    <w:rsid w:val="00CB13B6"/>
    <w:rsid w:val="00CB1583"/>
    <w:rsid w:val="00CB1E49"/>
    <w:rsid w:val="00CB1EAA"/>
    <w:rsid w:val="00CB1F53"/>
    <w:rsid w:val="00CB1F8F"/>
    <w:rsid w:val="00CB2077"/>
    <w:rsid w:val="00CB3C30"/>
    <w:rsid w:val="00CB3D3B"/>
    <w:rsid w:val="00CB4254"/>
    <w:rsid w:val="00CB47AD"/>
    <w:rsid w:val="00CB4940"/>
    <w:rsid w:val="00CB49DA"/>
    <w:rsid w:val="00CB4E11"/>
    <w:rsid w:val="00CB4EAF"/>
    <w:rsid w:val="00CB58DC"/>
    <w:rsid w:val="00CB5DC5"/>
    <w:rsid w:val="00CB611F"/>
    <w:rsid w:val="00CB6309"/>
    <w:rsid w:val="00CB6AA2"/>
    <w:rsid w:val="00CB76B5"/>
    <w:rsid w:val="00CB77D6"/>
    <w:rsid w:val="00CC0296"/>
    <w:rsid w:val="00CC0444"/>
    <w:rsid w:val="00CC0540"/>
    <w:rsid w:val="00CC0639"/>
    <w:rsid w:val="00CC0672"/>
    <w:rsid w:val="00CC0B7C"/>
    <w:rsid w:val="00CC0C75"/>
    <w:rsid w:val="00CC0CBF"/>
    <w:rsid w:val="00CC0E95"/>
    <w:rsid w:val="00CC10CD"/>
    <w:rsid w:val="00CC1203"/>
    <w:rsid w:val="00CC197B"/>
    <w:rsid w:val="00CC1C6C"/>
    <w:rsid w:val="00CC225D"/>
    <w:rsid w:val="00CC226E"/>
    <w:rsid w:val="00CC24F2"/>
    <w:rsid w:val="00CC281D"/>
    <w:rsid w:val="00CC2BA4"/>
    <w:rsid w:val="00CC2D93"/>
    <w:rsid w:val="00CC3029"/>
    <w:rsid w:val="00CC316E"/>
    <w:rsid w:val="00CC343D"/>
    <w:rsid w:val="00CC3A54"/>
    <w:rsid w:val="00CC3B68"/>
    <w:rsid w:val="00CC3C32"/>
    <w:rsid w:val="00CC406C"/>
    <w:rsid w:val="00CC443C"/>
    <w:rsid w:val="00CC4466"/>
    <w:rsid w:val="00CC4A85"/>
    <w:rsid w:val="00CC4CAB"/>
    <w:rsid w:val="00CC55DE"/>
    <w:rsid w:val="00CC579A"/>
    <w:rsid w:val="00CC58F7"/>
    <w:rsid w:val="00CC5CEE"/>
    <w:rsid w:val="00CC5D31"/>
    <w:rsid w:val="00CC61FD"/>
    <w:rsid w:val="00CC669B"/>
    <w:rsid w:val="00CC6C28"/>
    <w:rsid w:val="00CC6EDC"/>
    <w:rsid w:val="00CC6F28"/>
    <w:rsid w:val="00CC7135"/>
    <w:rsid w:val="00CC7357"/>
    <w:rsid w:val="00CC74C9"/>
    <w:rsid w:val="00CC76CE"/>
    <w:rsid w:val="00CC7811"/>
    <w:rsid w:val="00CD05A0"/>
    <w:rsid w:val="00CD0637"/>
    <w:rsid w:val="00CD0C83"/>
    <w:rsid w:val="00CD1142"/>
    <w:rsid w:val="00CD14E5"/>
    <w:rsid w:val="00CD16B4"/>
    <w:rsid w:val="00CD1ABD"/>
    <w:rsid w:val="00CD1CDD"/>
    <w:rsid w:val="00CD1DFF"/>
    <w:rsid w:val="00CD205F"/>
    <w:rsid w:val="00CD2072"/>
    <w:rsid w:val="00CD20C6"/>
    <w:rsid w:val="00CD259E"/>
    <w:rsid w:val="00CD2D91"/>
    <w:rsid w:val="00CD2DAB"/>
    <w:rsid w:val="00CD2E24"/>
    <w:rsid w:val="00CD2F6E"/>
    <w:rsid w:val="00CD2FB0"/>
    <w:rsid w:val="00CD2FEA"/>
    <w:rsid w:val="00CD30CB"/>
    <w:rsid w:val="00CD34B7"/>
    <w:rsid w:val="00CD38CC"/>
    <w:rsid w:val="00CD3B26"/>
    <w:rsid w:val="00CD3C48"/>
    <w:rsid w:val="00CD3CB3"/>
    <w:rsid w:val="00CD3D40"/>
    <w:rsid w:val="00CD4496"/>
    <w:rsid w:val="00CD481A"/>
    <w:rsid w:val="00CD4A89"/>
    <w:rsid w:val="00CD4E11"/>
    <w:rsid w:val="00CD4FF4"/>
    <w:rsid w:val="00CD504D"/>
    <w:rsid w:val="00CD5343"/>
    <w:rsid w:val="00CD565C"/>
    <w:rsid w:val="00CD5FE6"/>
    <w:rsid w:val="00CD6818"/>
    <w:rsid w:val="00CD6931"/>
    <w:rsid w:val="00CD6B93"/>
    <w:rsid w:val="00CD6D95"/>
    <w:rsid w:val="00CD6E07"/>
    <w:rsid w:val="00CD6F98"/>
    <w:rsid w:val="00CD7007"/>
    <w:rsid w:val="00CD742B"/>
    <w:rsid w:val="00CD7466"/>
    <w:rsid w:val="00CD7679"/>
    <w:rsid w:val="00CD7894"/>
    <w:rsid w:val="00CD7A65"/>
    <w:rsid w:val="00CD7AF0"/>
    <w:rsid w:val="00CD7F5B"/>
    <w:rsid w:val="00CE007A"/>
    <w:rsid w:val="00CE0B2E"/>
    <w:rsid w:val="00CE0B5E"/>
    <w:rsid w:val="00CE0C9A"/>
    <w:rsid w:val="00CE0E7A"/>
    <w:rsid w:val="00CE0F67"/>
    <w:rsid w:val="00CE1130"/>
    <w:rsid w:val="00CE13C0"/>
    <w:rsid w:val="00CE142C"/>
    <w:rsid w:val="00CE1AD1"/>
    <w:rsid w:val="00CE23E5"/>
    <w:rsid w:val="00CE2B9A"/>
    <w:rsid w:val="00CE3117"/>
    <w:rsid w:val="00CE314E"/>
    <w:rsid w:val="00CE34F8"/>
    <w:rsid w:val="00CE396D"/>
    <w:rsid w:val="00CE45C1"/>
    <w:rsid w:val="00CE55DB"/>
    <w:rsid w:val="00CE5611"/>
    <w:rsid w:val="00CE566A"/>
    <w:rsid w:val="00CE5A95"/>
    <w:rsid w:val="00CE5E1D"/>
    <w:rsid w:val="00CE668E"/>
    <w:rsid w:val="00CE6ADE"/>
    <w:rsid w:val="00CE6DCF"/>
    <w:rsid w:val="00CE6F2A"/>
    <w:rsid w:val="00CE7433"/>
    <w:rsid w:val="00CE7501"/>
    <w:rsid w:val="00CE757E"/>
    <w:rsid w:val="00CE786E"/>
    <w:rsid w:val="00CE789D"/>
    <w:rsid w:val="00CE7ABB"/>
    <w:rsid w:val="00CE7C6F"/>
    <w:rsid w:val="00CE7D29"/>
    <w:rsid w:val="00CE7D41"/>
    <w:rsid w:val="00CE7D49"/>
    <w:rsid w:val="00CF016F"/>
    <w:rsid w:val="00CF0313"/>
    <w:rsid w:val="00CF0461"/>
    <w:rsid w:val="00CF0535"/>
    <w:rsid w:val="00CF0C4B"/>
    <w:rsid w:val="00CF0CEB"/>
    <w:rsid w:val="00CF1193"/>
    <w:rsid w:val="00CF153F"/>
    <w:rsid w:val="00CF15AE"/>
    <w:rsid w:val="00CF1830"/>
    <w:rsid w:val="00CF1BC3"/>
    <w:rsid w:val="00CF1E5C"/>
    <w:rsid w:val="00CF1E62"/>
    <w:rsid w:val="00CF2412"/>
    <w:rsid w:val="00CF2430"/>
    <w:rsid w:val="00CF2487"/>
    <w:rsid w:val="00CF2646"/>
    <w:rsid w:val="00CF2C2B"/>
    <w:rsid w:val="00CF2E99"/>
    <w:rsid w:val="00CF2F41"/>
    <w:rsid w:val="00CF33E0"/>
    <w:rsid w:val="00CF3411"/>
    <w:rsid w:val="00CF3559"/>
    <w:rsid w:val="00CF3698"/>
    <w:rsid w:val="00CF39E5"/>
    <w:rsid w:val="00CF3FB1"/>
    <w:rsid w:val="00CF4560"/>
    <w:rsid w:val="00CF4B44"/>
    <w:rsid w:val="00CF4D91"/>
    <w:rsid w:val="00CF5064"/>
    <w:rsid w:val="00CF5D82"/>
    <w:rsid w:val="00CF5E2F"/>
    <w:rsid w:val="00CF5E5D"/>
    <w:rsid w:val="00CF5FD4"/>
    <w:rsid w:val="00CF645D"/>
    <w:rsid w:val="00CF65FF"/>
    <w:rsid w:val="00CF712E"/>
    <w:rsid w:val="00CF7490"/>
    <w:rsid w:val="00CF7694"/>
    <w:rsid w:val="00CF769C"/>
    <w:rsid w:val="00CF79A6"/>
    <w:rsid w:val="00CF7AB5"/>
    <w:rsid w:val="00CF7C30"/>
    <w:rsid w:val="00CF7E74"/>
    <w:rsid w:val="00D003B9"/>
    <w:rsid w:val="00D00451"/>
    <w:rsid w:val="00D00A37"/>
    <w:rsid w:val="00D00C8F"/>
    <w:rsid w:val="00D01822"/>
    <w:rsid w:val="00D01ADC"/>
    <w:rsid w:val="00D0252A"/>
    <w:rsid w:val="00D02636"/>
    <w:rsid w:val="00D02809"/>
    <w:rsid w:val="00D02D72"/>
    <w:rsid w:val="00D02E3D"/>
    <w:rsid w:val="00D02F49"/>
    <w:rsid w:val="00D03092"/>
    <w:rsid w:val="00D0314D"/>
    <w:rsid w:val="00D031C7"/>
    <w:rsid w:val="00D03361"/>
    <w:rsid w:val="00D0340B"/>
    <w:rsid w:val="00D0372B"/>
    <w:rsid w:val="00D03A8E"/>
    <w:rsid w:val="00D03C6B"/>
    <w:rsid w:val="00D03FF4"/>
    <w:rsid w:val="00D040B1"/>
    <w:rsid w:val="00D042C4"/>
    <w:rsid w:val="00D043C6"/>
    <w:rsid w:val="00D047FC"/>
    <w:rsid w:val="00D0485B"/>
    <w:rsid w:val="00D04D39"/>
    <w:rsid w:val="00D0512A"/>
    <w:rsid w:val="00D052CA"/>
    <w:rsid w:val="00D0537A"/>
    <w:rsid w:val="00D05387"/>
    <w:rsid w:val="00D055FA"/>
    <w:rsid w:val="00D0590B"/>
    <w:rsid w:val="00D06334"/>
    <w:rsid w:val="00D0639F"/>
    <w:rsid w:val="00D06451"/>
    <w:rsid w:val="00D06976"/>
    <w:rsid w:val="00D06D60"/>
    <w:rsid w:val="00D06EC5"/>
    <w:rsid w:val="00D070D7"/>
    <w:rsid w:val="00D07340"/>
    <w:rsid w:val="00D078B2"/>
    <w:rsid w:val="00D07C0C"/>
    <w:rsid w:val="00D07CFE"/>
    <w:rsid w:val="00D1029A"/>
    <w:rsid w:val="00D10472"/>
    <w:rsid w:val="00D1052F"/>
    <w:rsid w:val="00D105A8"/>
    <w:rsid w:val="00D107EF"/>
    <w:rsid w:val="00D10BC3"/>
    <w:rsid w:val="00D1165A"/>
    <w:rsid w:val="00D12120"/>
    <w:rsid w:val="00D12322"/>
    <w:rsid w:val="00D125C3"/>
    <w:rsid w:val="00D1262F"/>
    <w:rsid w:val="00D12B5B"/>
    <w:rsid w:val="00D13128"/>
    <w:rsid w:val="00D131D7"/>
    <w:rsid w:val="00D13367"/>
    <w:rsid w:val="00D13876"/>
    <w:rsid w:val="00D13A73"/>
    <w:rsid w:val="00D13AD2"/>
    <w:rsid w:val="00D13B99"/>
    <w:rsid w:val="00D13EEB"/>
    <w:rsid w:val="00D13FE7"/>
    <w:rsid w:val="00D157D3"/>
    <w:rsid w:val="00D15882"/>
    <w:rsid w:val="00D16298"/>
    <w:rsid w:val="00D167AC"/>
    <w:rsid w:val="00D169FC"/>
    <w:rsid w:val="00D16F8B"/>
    <w:rsid w:val="00D16FEF"/>
    <w:rsid w:val="00D170E8"/>
    <w:rsid w:val="00D17161"/>
    <w:rsid w:val="00D17314"/>
    <w:rsid w:val="00D1754D"/>
    <w:rsid w:val="00D17620"/>
    <w:rsid w:val="00D179CC"/>
    <w:rsid w:val="00D20039"/>
    <w:rsid w:val="00D2017B"/>
    <w:rsid w:val="00D201EA"/>
    <w:rsid w:val="00D20651"/>
    <w:rsid w:val="00D208F1"/>
    <w:rsid w:val="00D20B5E"/>
    <w:rsid w:val="00D20C8F"/>
    <w:rsid w:val="00D214CC"/>
    <w:rsid w:val="00D219DA"/>
    <w:rsid w:val="00D2216F"/>
    <w:rsid w:val="00D221F1"/>
    <w:rsid w:val="00D2256D"/>
    <w:rsid w:val="00D22695"/>
    <w:rsid w:val="00D2276C"/>
    <w:rsid w:val="00D22D8C"/>
    <w:rsid w:val="00D230B5"/>
    <w:rsid w:val="00D237C7"/>
    <w:rsid w:val="00D238F1"/>
    <w:rsid w:val="00D23CF4"/>
    <w:rsid w:val="00D23D3F"/>
    <w:rsid w:val="00D24542"/>
    <w:rsid w:val="00D24F12"/>
    <w:rsid w:val="00D24FA0"/>
    <w:rsid w:val="00D254A8"/>
    <w:rsid w:val="00D258B5"/>
    <w:rsid w:val="00D25CB1"/>
    <w:rsid w:val="00D263D3"/>
    <w:rsid w:val="00D2725E"/>
    <w:rsid w:val="00D273DE"/>
    <w:rsid w:val="00D2742F"/>
    <w:rsid w:val="00D27B20"/>
    <w:rsid w:val="00D27BF4"/>
    <w:rsid w:val="00D27C50"/>
    <w:rsid w:val="00D27D9C"/>
    <w:rsid w:val="00D27DE7"/>
    <w:rsid w:val="00D27F44"/>
    <w:rsid w:val="00D30072"/>
    <w:rsid w:val="00D3009C"/>
    <w:rsid w:val="00D30126"/>
    <w:rsid w:val="00D30692"/>
    <w:rsid w:val="00D3090B"/>
    <w:rsid w:val="00D30C28"/>
    <w:rsid w:val="00D30C49"/>
    <w:rsid w:val="00D30DC2"/>
    <w:rsid w:val="00D31953"/>
    <w:rsid w:val="00D319CD"/>
    <w:rsid w:val="00D319D8"/>
    <w:rsid w:val="00D31D8E"/>
    <w:rsid w:val="00D31E9E"/>
    <w:rsid w:val="00D32085"/>
    <w:rsid w:val="00D32905"/>
    <w:rsid w:val="00D32B86"/>
    <w:rsid w:val="00D32C7A"/>
    <w:rsid w:val="00D33286"/>
    <w:rsid w:val="00D334DC"/>
    <w:rsid w:val="00D337BD"/>
    <w:rsid w:val="00D33C42"/>
    <w:rsid w:val="00D33CBC"/>
    <w:rsid w:val="00D345FE"/>
    <w:rsid w:val="00D34986"/>
    <w:rsid w:val="00D34CF6"/>
    <w:rsid w:val="00D34DA3"/>
    <w:rsid w:val="00D353CC"/>
    <w:rsid w:val="00D355D0"/>
    <w:rsid w:val="00D359E6"/>
    <w:rsid w:val="00D35CB1"/>
    <w:rsid w:val="00D360AB"/>
    <w:rsid w:val="00D36351"/>
    <w:rsid w:val="00D36771"/>
    <w:rsid w:val="00D36808"/>
    <w:rsid w:val="00D36A15"/>
    <w:rsid w:val="00D37188"/>
    <w:rsid w:val="00D37670"/>
    <w:rsid w:val="00D40298"/>
    <w:rsid w:val="00D404B9"/>
    <w:rsid w:val="00D40523"/>
    <w:rsid w:val="00D4069F"/>
    <w:rsid w:val="00D4092D"/>
    <w:rsid w:val="00D4140C"/>
    <w:rsid w:val="00D417A6"/>
    <w:rsid w:val="00D41856"/>
    <w:rsid w:val="00D41F1F"/>
    <w:rsid w:val="00D422E1"/>
    <w:rsid w:val="00D4271E"/>
    <w:rsid w:val="00D42BE4"/>
    <w:rsid w:val="00D43A7D"/>
    <w:rsid w:val="00D43B73"/>
    <w:rsid w:val="00D4404C"/>
    <w:rsid w:val="00D447C5"/>
    <w:rsid w:val="00D44844"/>
    <w:rsid w:val="00D44997"/>
    <w:rsid w:val="00D44AAF"/>
    <w:rsid w:val="00D44C47"/>
    <w:rsid w:val="00D44E07"/>
    <w:rsid w:val="00D45127"/>
    <w:rsid w:val="00D45327"/>
    <w:rsid w:val="00D45DCF"/>
    <w:rsid w:val="00D464D4"/>
    <w:rsid w:val="00D464FB"/>
    <w:rsid w:val="00D46A38"/>
    <w:rsid w:val="00D46F2D"/>
    <w:rsid w:val="00D47318"/>
    <w:rsid w:val="00D4768E"/>
    <w:rsid w:val="00D47738"/>
    <w:rsid w:val="00D47A40"/>
    <w:rsid w:val="00D47B92"/>
    <w:rsid w:val="00D47E73"/>
    <w:rsid w:val="00D47F05"/>
    <w:rsid w:val="00D47FE1"/>
    <w:rsid w:val="00D50994"/>
    <w:rsid w:val="00D50A96"/>
    <w:rsid w:val="00D51555"/>
    <w:rsid w:val="00D51689"/>
    <w:rsid w:val="00D51948"/>
    <w:rsid w:val="00D51CC7"/>
    <w:rsid w:val="00D51D30"/>
    <w:rsid w:val="00D51FDC"/>
    <w:rsid w:val="00D520B3"/>
    <w:rsid w:val="00D524E6"/>
    <w:rsid w:val="00D52E3F"/>
    <w:rsid w:val="00D530F2"/>
    <w:rsid w:val="00D53112"/>
    <w:rsid w:val="00D53184"/>
    <w:rsid w:val="00D53637"/>
    <w:rsid w:val="00D53966"/>
    <w:rsid w:val="00D54CAD"/>
    <w:rsid w:val="00D54D3D"/>
    <w:rsid w:val="00D54F5F"/>
    <w:rsid w:val="00D54FC9"/>
    <w:rsid w:val="00D55A2C"/>
    <w:rsid w:val="00D55E3A"/>
    <w:rsid w:val="00D55E5C"/>
    <w:rsid w:val="00D560AF"/>
    <w:rsid w:val="00D5647A"/>
    <w:rsid w:val="00D5680B"/>
    <w:rsid w:val="00D56B9E"/>
    <w:rsid w:val="00D57B1F"/>
    <w:rsid w:val="00D57CFF"/>
    <w:rsid w:val="00D57F9D"/>
    <w:rsid w:val="00D6056E"/>
    <w:rsid w:val="00D60D34"/>
    <w:rsid w:val="00D60FF6"/>
    <w:rsid w:val="00D6100E"/>
    <w:rsid w:val="00D611B2"/>
    <w:rsid w:val="00D6152C"/>
    <w:rsid w:val="00D61B36"/>
    <w:rsid w:val="00D61F19"/>
    <w:rsid w:val="00D621F0"/>
    <w:rsid w:val="00D6226D"/>
    <w:rsid w:val="00D622B1"/>
    <w:rsid w:val="00D625C4"/>
    <w:rsid w:val="00D626C9"/>
    <w:rsid w:val="00D626E2"/>
    <w:rsid w:val="00D62C5B"/>
    <w:rsid w:val="00D62CCE"/>
    <w:rsid w:val="00D62EA1"/>
    <w:rsid w:val="00D62F77"/>
    <w:rsid w:val="00D62FB3"/>
    <w:rsid w:val="00D62FCB"/>
    <w:rsid w:val="00D631AA"/>
    <w:rsid w:val="00D63426"/>
    <w:rsid w:val="00D63479"/>
    <w:rsid w:val="00D635F6"/>
    <w:rsid w:val="00D6387D"/>
    <w:rsid w:val="00D63C58"/>
    <w:rsid w:val="00D63D9A"/>
    <w:rsid w:val="00D63F89"/>
    <w:rsid w:val="00D640AD"/>
    <w:rsid w:val="00D640CC"/>
    <w:rsid w:val="00D640FA"/>
    <w:rsid w:val="00D64858"/>
    <w:rsid w:val="00D65412"/>
    <w:rsid w:val="00D6571A"/>
    <w:rsid w:val="00D65890"/>
    <w:rsid w:val="00D65E70"/>
    <w:rsid w:val="00D662D2"/>
    <w:rsid w:val="00D66AB7"/>
    <w:rsid w:val="00D6729D"/>
    <w:rsid w:val="00D67324"/>
    <w:rsid w:val="00D674DA"/>
    <w:rsid w:val="00D6753C"/>
    <w:rsid w:val="00D676C3"/>
    <w:rsid w:val="00D678CF"/>
    <w:rsid w:val="00D67926"/>
    <w:rsid w:val="00D679A3"/>
    <w:rsid w:val="00D67ABF"/>
    <w:rsid w:val="00D67BF5"/>
    <w:rsid w:val="00D67FE4"/>
    <w:rsid w:val="00D7033A"/>
    <w:rsid w:val="00D705B6"/>
    <w:rsid w:val="00D70BED"/>
    <w:rsid w:val="00D70E01"/>
    <w:rsid w:val="00D70E02"/>
    <w:rsid w:val="00D70E35"/>
    <w:rsid w:val="00D70E7D"/>
    <w:rsid w:val="00D70ED0"/>
    <w:rsid w:val="00D71CE7"/>
    <w:rsid w:val="00D71F44"/>
    <w:rsid w:val="00D7246B"/>
    <w:rsid w:val="00D72734"/>
    <w:rsid w:val="00D72B19"/>
    <w:rsid w:val="00D730E0"/>
    <w:rsid w:val="00D736FC"/>
    <w:rsid w:val="00D73A04"/>
    <w:rsid w:val="00D73FD3"/>
    <w:rsid w:val="00D74079"/>
    <w:rsid w:val="00D74275"/>
    <w:rsid w:val="00D745B8"/>
    <w:rsid w:val="00D748EE"/>
    <w:rsid w:val="00D74A74"/>
    <w:rsid w:val="00D75401"/>
    <w:rsid w:val="00D7551E"/>
    <w:rsid w:val="00D75533"/>
    <w:rsid w:val="00D75576"/>
    <w:rsid w:val="00D75A1A"/>
    <w:rsid w:val="00D75D34"/>
    <w:rsid w:val="00D75ED3"/>
    <w:rsid w:val="00D76350"/>
    <w:rsid w:val="00D76371"/>
    <w:rsid w:val="00D763E0"/>
    <w:rsid w:val="00D7680F"/>
    <w:rsid w:val="00D769D9"/>
    <w:rsid w:val="00D76AEA"/>
    <w:rsid w:val="00D76B5C"/>
    <w:rsid w:val="00D76B9D"/>
    <w:rsid w:val="00D76BAC"/>
    <w:rsid w:val="00D76C2D"/>
    <w:rsid w:val="00D774AC"/>
    <w:rsid w:val="00D77AB7"/>
    <w:rsid w:val="00D77D0E"/>
    <w:rsid w:val="00D77F1F"/>
    <w:rsid w:val="00D80424"/>
    <w:rsid w:val="00D804BD"/>
    <w:rsid w:val="00D805EC"/>
    <w:rsid w:val="00D80C33"/>
    <w:rsid w:val="00D80D94"/>
    <w:rsid w:val="00D80E5D"/>
    <w:rsid w:val="00D8129D"/>
    <w:rsid w:val="00D81451"/>
    <w:rsid w:val="00D816E4"/>
    <w:rsid w:val="00D81A1E"/>
    <w:rsid w:val="00D81ACC"/>
    <w:rsid w:val="00D81FD8"/>
    <w:rsid w:val="00D820D9"/>
    <w:rsid w:val="00D824CC"/>
    <w:rsid w:val="00D824E7"/>
    <w:rsid w:val="00D82B41"/>
    <w:rsid w:val="00D82CD0"/>
    <w:rsid w:val="00D83022"/>
    <w:rsid w:val="00D8359C"/>
    <w:rsid w:val="00D83678"/>
    <w:rsid w:val="00D8380B"/>
    <w:rsid w:val="00D8390C"/>
    <w:rsid w:val="00D83D3C"/>
    <w:rsid w:val="00D841B6"/>
    <w:rsid w:val="00D84207"/>
    <w:rsid w:val="00D845DB"/>
    <w:rsid w:val="00D8492D"/>
    <w:rsid w:val="00D84936"/>
    <w:rsid w:val="00D84D85"/>
    <w:rsid w:val="00D84FEC"/>
    <w:rsid w:val="00D85166"/>
    <w:rsid w:val="00D85859"/>
    <w:rsid w:val="00D85C59"/>
    <w:rsid w:val="00D86AF3"/>
    <w:rsid w:val="00D87634"/>
    <w:rsid w:val="00D87A09"/>
    <w:rsid w:val="00D87A55"/>
    <w:rsid w:val="00D87F39"/>
    <w:rsid w:val="00D9077D"/>
    <w:rsid w:val="00D90D63"/>
    <w:rsid w:val="00D9119A"/>
    <w:rsid w:val="00D911FE"/>
    <w:rsid w:val="00D91FDD"/>
    <w:rsid w:val="00D92400"/>
    <w:rsid w:val="00D92C73"/>
    <w:rsid w:val="00D92D4E"/>
    <w:rsid w:val="00D92E2C"/>
    <w:rsid w:val="00D92FC7"/>
    <w:rsid w:val="00D9334B"/>
    <w:rsid w:val="00D93D9E"/>
    <w:rsid w:val="00D9420B"/>
    <w:rsid w:val="00D94358"/>
    <w:rsid w:val="00D9456C"/>
    <w:rsid w:val="00D947E2"/>
    <w:rsid w:val="00D94978"/>
    <w:rsid w:val="00D9540A"/>
    <w:rsid w:val="00D95B6C"/>
    <w:rsid w:val="00D96258"/>
    <w:rsid w:val="00D96559"/>
    <w:rsid w:val="00D967BC"/>
    <w:rsid w:val="00D968ED"/>
    <w:rsid w:val="00D96D90"/>
    <w:rsid w:val="00D974F0"/>
    <w:rsid w:val="00D9762F"/>
    <w:rsid w:val="00DA0079"/>
    <w:rsid w:val="00DA02A2"/>
    <w:rsid w:val="00DA02AC"/>
    <w:rsid w:val="00DA0773"/>
    <w:rsid w:val="00DA0866"/>
    <w:rsid w:val="00DA0905"/>
    <w:rsid w:val="00DA0B4B"/>
    <w:rsid w:val="00DA0DC1"/>
    <w:rsid w:val="00DA0F79"/>
    <w:rsid w:val="00DA125C"/>
    <w:rsid w:val="00DA1376"/>
    <w:rsid w:val="00DA1613"/>
    <w:rsid w:val="00DA168F"/>
    <w:rsid w:val="00DA1899"/>
    <w:rsid w:val="00DA1CC5"/>
    <w:rsid w:val="00DA1F98"/>
    <w:rsid w:val="00DA1FBB"/>
    <w:rsid w:val="00DA2276"/>
    <w:rsid w:val="00DA25DF"/>
    <w:rsid w:val="00DA2659"/>
    <w:rsid w:val="00DA29C4"/>
    <w:rsid w:val="00DA29CC"/>
    <w:rsid w:val="00DA2BB6"/>
    <w:rsid w:val="00DA2EF6"/>
    <w:rsid w:val="00DA32ED"/>
    <w:rsid w:val="00DA3450"/>
    <w:rsid w:val="00DA370F"/>
    <w:rsid w:val="00DA371E"/>
    <w:rsid w:val="00DA37B4"/>
    <w:rsid w:val="00DA3991"/>
    <w:rsid w:val="00DA3AAE"/>
    <w:rsid w:val="00DA3FF7"/>
    <w:rsid w:val="00DA4108"/>
    <w:rsid w:val="00DA42E9"/>
    <w:rsid w:val="00DA4757"/>
    <w:rsid w:val="00DA4B5F"/>
    <w:rsid w:val="00DA4D60"/>
    <w:rsid w:val="00DA4D7A"/>
    <w:rsid w:val="00DA4E5B"/>
    <w:rsid w:val="00DA52DF"/>
    <w:rsid w:val="00DA5544"/>
    <w:rsid w:val="00DA557D"/>
    <w:rsid w:val="00DA57FD"/>
    <w:rsid w:val="00DA5B5F"/>
    <w:rsid w:val="00DA5B8A"/>
    <w:rsid w:val="00DA5D02"/>
    <w:rsid w:val="00DA5FE6"/>
    <w:rsid w:val="00DA6B87"/>
    <w:rsid w:val="00DA6EB4"/>
    <w:rsid w:val="00DA730B"/>
    <w:rsid w:val="00DA7398"/>
    <w:rsid w:val="00DA73E7"/>
    <w:rsid w:val="00DA7557"/>
    <w:rsid w:val="00DA7563"/>
    <w:rsid w:val="00DA7799"/>
    <w:rsid w:val="00DA7EF7"/>
    <w:rsid w:val="00DB071B"/>
    <w:rsid w:val="00DB0B8F"/>
    <w:rsid w:val="00DB0C3D"/>
    <w:rsid w:val="00DB0FC9"/>
    <w:rsid w:val="00DB15BA"/>
    <w:rsid w:val="00DB15BD"/>
    <w:rsid w:val="00DB15D4"/>
    <w:rsid w:val="00DB187E"/>
    <w:rsid w:val="00DB1882"/>
    <w:rsid w:val="00DB1918"/>
    <w:rsid w:val="00DB1C20"/>
    <w:rsid w:val="00DB1E3E"/>
    <w:rsid w:val="00DB1ED7"/>
    <w:rsid w:val="00DB1FFB"/>
    <w:rsid w:val="00DB2040"/>
    <w:rsid w:val="00DB2094"/>
    <w:rsid w:val="00DB26D5"/>
    <w:rsid w:val="00DB284E"/>
    <w:rsid w:val="00DB2960"/>
    <w:rsid w:val="00DB2B76"/>
    <w:rsid w:val="00DB2E6E"/>
    <w:rsid w:val="00DB2E87"/>
    <w:rsid w:val="00DB3852"/>
    <w:rsid w:val="00DB460B"/>
    <w:rsid w:val="00DB48E1"/>
    <w:rsid w:val="00DB4C36"/>
    <w:rsid w:val="00DB5391"/>
    <w:rsid w:val="00DB57BA"/>
    <w:rsid w:val="00DB58C9"/>
    <w:rsid w:val="00DB5DDA"/>
    <w:rsid w:val="00DB6092"/>
    <w:rsid w:val="00DB6595"/>
    <w:rsid w:val="00DB664F"/>
    <w:rsid w:val="00DB66DF"/>
    <w:rsid w:val="00DB6836"/>
    <w:rsid w:val="00DB68AA"/>
    <w:rsid w:val="00DB69D6"/>
    <w:rsid w:val="00DB6AF5"/>
    <w:rsid w:val="00DB6BB5"/>
    <w:rsid w:val="00DB7D1B"/>
    <w:rsid w:val="00DC0119"/>
    <w:rsid w:val="00DC02FE"/>
    <w:rsid w:val="00DC0EF4"/>
    <w:rsid w:val="00DC102D"/>
    <w:rsid w:val="00DC1192"/>
    <w:rsid w:val="00DC14D6"/>
    <w:rsid w:val="00DC1536"/>
    <w:rsid w:val="00DC1938"/>
    <w:rsid w:val="00DC1AF5"/>
    <w:rsid w:val="00DC1ED7"/>
    <w:rsid w:val="00DC2A0F"/>
    <w:rsid w:val="00DC2D6B"/>
    <w:rsid w:val="00DC2DE4"/>
    <w:rsid w:val="00DC301D"/>
    <w:rsid w:val="00DC359B"/>
    <w:rsid w:val="00DC37FC"/>
    <w:rsid w:val="00DC3DF2"/>
    <w:rsid w:val="00DC40C2"/>
    <w:rsid w:val="00DC481F"/>
    <w:rsid w:val="00DC495A"/>
    <w:rsid w:val="00DC4A35"/>
    <w:rsid w:val="00DC4B0E"/>
    <w:rsid w:val="00DC4BC3"/>
    <w:rsid w:val="00DC5426"/>
    <w:rsid w:val="00DC54F7"/>
    <w:rsid w:val="00DC555B"/>
    <w:rsid w:val="00DC5852"/>
    <w:rsid w:val="00DC5A3F"/>
    <w:rsid w:val="00DC5CF1"/>
    <w:rsid w:val="00DC6364"/>
    <w:rsid w:val="00DC6517"/>
    <w:rsid w:val="00DC678B"/>
    <w:rsid w:val="00DC67B0"/>
    <w:rsid w:val="00DC6BCD"/>
    <w:rsid w:val="00DC6CD0"/>
    <w:rsid w:val="00DC6D7B"/>
    <w:rsid w:val="00DC718D"/>
    <w:rsid w:val="00DC71C5"/>
    <w:rsid w:val="00DC71FA"/>
    <w:rsid w:val="00DC750F"/>
    <w:rsid w:val="00DC75F2"/>
    <w:rsid w:val="00DC77B6"/>
    <w:rsid w:val="00DC7B0A"/>
    <w:rsid w:val="00DC7D4C"/>
    <w:rsid w:val="00DC7DAA"/>
    <w:rsid w:val="00DD037F"/>
    <w:rsid w:val="00DD04C3"/>
    <w:rsid w:val="00DD056B"/>
    <w:rsid w:val="00DD0F88"/>
    <w:rsid w:val="00DD100F"/>
    <w:rsid w:val="00DD151B"/>
    <w:rsid w:val="00DD19A6"/>
    <w:rsid w:val="00DD1C58"/>
    <w:rsid w:val="00DD1FA2"/>
    <w:rsid w:val="00DD2376"/>
    <w:rsid w:val="00DD23E7"/>
    <w:rsid w:val="00DD2884"/>
    <w:rsid w:val="00DD2AE4"/>
    <w:rsid w:val="00DD2BDE"/>
    <w:rsid w:val="00DD2DED"/>
    <w:rsid w:val="00DD32FC"/>
    <w:rsid w:val="00DD337D"/>
    <w:rsid w:val="00DD34DC"/>
    <w:rsid w:val="00DD3CB6"/>
    <w:rsid w:val="00DD3D58"/>
    <w:rsid w:val="00DD40CE"/>
    <w:rsid w:val="00DD489A"/>
    <w:rsid w:val="00DD49E3"/>
    <w:rsid w:val="00DD4D9B"/>
    <w:rsid w:val="00DD516D"/>
    <w:rsid w:val="00DD5192"/>
    <w:rsid w:val="00DD532B"/>
    <w:rsid w:val="00DD583B"/>
    <w:rsid w:val="00DD5C6A"/>
    <w:rsid w:val="00DD5FB2"/>
    <w:rsid w:val="00DD6023"/>
    <w:rsid w:val="00DD63DB"/>
    <w:rsid w:val="00DD64A0"/>
    <w:rsid w:val="00DD67C2"/>
    <w:rsid w:val="00DD6E81"/>
    <w:rsid w:val="00DD6F4A"/>
    <w:rsid w:val="00DD7009"/>
    <w:rsid w:val="00DD7155"/>
    <w:rsid w:val="00DD7401"/>
    <w:rsid w:val="00DD743F"/>
    <w:rsid w:val="00DD75A6"/>
    <w:rsid w:val="00DD7647"/>
    <w:rsid w:val="00DD7821"/>
    <w:rsid w:val="00DD7897"/>
    <w:rsid w:val="00DE0226"/>
    <w:rsid w:val="00DE0A74"/>
    <w:rsid w:val="00DE0B73"/>
    <w:rsid w:val="00DE177E"/>
    <w:rsid w:val="00DE18AF"/>
    <w:rsid w:val="00DE1B97"/>
    <w:rsid w:val="00DE1CC8"/>
    <w:rsid w:val="00DE205E"/>
    <w:rsid w:val="00DE21A4"/>
    <w:rsid w:val="00DE21BF"/>
    <w:rsid w:val="00DE2213"/>
    <w:rsid w:val="00DE23F4"/>
    <w:rsid w:val="00DE24D6"/>
    <w:rsid w:val="00DE2936"/>
    <w:rsid w:val="00DE2A53"/>
    <w:rsid w:val="00DE2C2D"/>
    <w:rsid w:val="00DE2DA3"/>
    <w:rsid w:val="00DE2FBC"/>
    <w:rsid w:val="00DE2FDD"/>
    <w:rsid w:val="00DE3335"/>
    <w:rsid w:val="00DE337D"/>
    <w:rsid w:val="00DE3412"/>
    <w:rsid w:val="00DE352D"/>
    <w:rsid w:val="00DE36A0"/>
    <w:rsid w:val="00DE3A75"/>
    <w:rsid w:val="00DE3F31"/>
    <w:rsid w:val="00DE4406"/>
    <w:rsid w:val="00DE4647"/>
    <w:rsid w:val="00DE545D"/>
    <w:rsid w:val="00DE599E"/>
    <w:rsid w:val="00DE5D84"/>
    <w:rsid w:val="00DE5DC2"/>
    <w:rsid w:val="00DE6087"/>
    <w:rsid w:val="00DE609F"/>
    <w:rsid w:val="00DE60B6"/>
    <w:rsid w:val="00DE66EA"/>
    <w:rsid w:val="00DE6E71"/>
    <w:rsid w:val="00DE6FD4"/>
    <w:rsid w:val="00DE71B2"/>
    <w:rsid w:val="00DE7409"/>
    <w:rsid w:val="00DE7520"/>
    <w:rsid w:val="00DE796D"/>
    <w:rsid w:val="00DE7B05"/>
    <w:rsid w:val="00DE7B4F"/>
    <w:rsid w:val="00DE7FF9"/>
    <w:rsid w:val="00DF0802"/>
    <w:rsid w:val="00DF0A81"/>
    <w:rsid w:val="00DF0AA3"/>
    <w:rsid w:val="00DF0B8D"/>
    <w:rsid w:val="00DF0F0C"/>
    <w:rsid w:val="00DF125D"/>
    <w:rsid w:val="00DF1376"/>
    <w:rsid w:val="00DF1B98"/>
    <w:rsid w:val="00DF1F64"/>
    <w:rsid w:val="00DF1FCB"/>
    <w:rsid w:val="00DF1FCC"/>
    <w:rsid w:val="00DF27DA"/>
    <w:rsid w:val="00DF282E"/>
    <w:rsid w:val="00DF2AAC"/>
    <w:rsid w:val="00DF2EA6"/>
    <w:rsid w:val="00DF35D9"/>
    <w:rsid w:val="00DF39E5"/>
    <w:rsid w:val="00DF3B42"/>
    <w:rsid w:val="00DF3B49"/>
    <w:rsid w:val="00DF3FD9"/>
    <w:rsid w:val="00DF4272"/>
    <w:rsid w:val="00DF432C"/>
    <w:rsid w:val="00DF4B81"/>
    <w:rsid w:val="00DF5030"/>
    <w:rsid w:val="00DF5247"/>
    <w:rsid w:val="00DF5289"/>
    <w:rsid w:val="00DF5646"/>
    <w:rsid w:val="00DF6580"/>
    <w:rsid w:val="00DF6590"/>
    <w:rsid w:val="00DF6956"/>
    <w:rsid w:val="00DF6A8D"/>
    <w:rsid w:val="00DF6C3C"/>
    <w:rsid w:val="00DF727A"/>
    <w:rsid w:val="00E00347"/>
    <w:rsid w:val="00E005DE"/>
    <w:rsid w:val="00E00625"/>
    <w:rsid w:val="00E00843"/>
    <w:rsid w:val="00E009C1"/>
    <w:rsid w:val="00E00A51"/>
    <w:rsid w:val="00E00C72"/>
    <w:rsid w:val="00E018D5"/>
    <w:rsid w:val="00E019B6"/>
    <w:rsid w:val="00E01AC9"/>
    <w:rsid w:val="00E01B10"/>
    <w:rsid w:val="00E01C30"/>
    <w:rsid w:val="00E01E51"/>
    <w:rsid w:val="00E01FD1"/>
    <w:rsid w:val="00E022F8"/>
    <w:rsid w:val="00E02514"/>
    <w:rsid w:val="00E0256C"/>
    <w:rsid w:val="00E02574"/>
    <w:rsid w:val="00E02733"/>
    <w:rsid w:val="00E028EF"/>
    <w:rsid w:val="00E02A23"/>
    <w:rsid w:val="00E02AC2"/>
    <w:rsid w:val="00E02BB8"/>
    <w:rsid w:val="00E02C92"/>
    <w:rsid w:val="00E033C5"/>
    <w:rsid w:val="00E03659"/>
    <w:rsid w:val="00E036DB"/>
    <w:rsid w:val="00E03708"/>
    <w:rsid w:val="00E0385D"/>
    <w:rsid w:val="00E03AE7"/>
    <w:rsid w:val="00E03BAA"/>
    <w:rsid w:val="00E043AC"/>
    <w:rsid w:val="00E04548"/>
    <w:rsid w:val="00E047E0"/>
    <w:rsid w:val="00E04B74"/>
    <w:rsid w:val="00E04DA1"/>
    <w:rsid w:val="00E05072"/>
    <w:rsid w:val="00E05139"/>
    <w:rsid w:val="00E05552"/>
    <w:rsid w:val="00E05C55"/>
    <w:rsid w:val="00E05CD8"/>
    <w:rsid w:val="00E060E9"/>
    <w:rsid w:val="00E062C6"/>
    <w:rsid w:val="00E06464"/>
    <w:rsid w:val="00E06B2E"/>
    <w:rsid w:val="00E06D00"/>
    <w:rsid w:val="00E06F65"/>
    <w:rsid w:val="00E07063"/>
    <w:rsid w:val="00E07576"/>
    <w:rsid w:val="00E07635"/>
    <w:rsid w:val="00E07B42"/>
    <w:rsid w:val="00E07D01"/>
    <w:rsid w:val="00E10008"/>
    <w:rsid w:val="00E10948"/>
    <w:rsid w:val="00E1098B"/>
    <w:rsid w:val="00E109F1"/>
    <w:rsid w:val="00E10B03"/>
    <w:rsid w:val="00E11045"/>
    <w:rsid w:val="00E111AC"/>
    <w:rsid w:val="00E112C1"/>
    <w:rsid w:val="00E112FD"/>
    <w:rsid w:val="00E113CD"/>
    <w:rsid w:val="00E116A4"/>
    <w:rsid w:val="00E1176F"/>
    <w:rsid w:val="00E118FC"/>
    <w:rsid w:val="00E119C7"/>
    <w:rsid w:val="00E119CF"/>
    <w:rsid w:val="00E119E3"/>
    <w:rsid w:val="00E11F4C"/>
    <w:rsid w:val="00E127CC"/>
    <w:rsid w:val="00E127EE"/>
    <w:rsid w:val="00E1288B"/>
    <w:rsid w:val="00E12908"/>
    <w:rsid w:val="00E12E2F"/>
    <w:rsid w:val="00E12ED0"/>
    <w:rsid w:val="00E13186"/>
    <w:rsid w:val="00E132AC"/>
    <w:rsid w:val="00E13470"/>
    <w:rsid w:val="00E13B01"/>
    <w:rsid w:val="00E13D5A"/>
    <w:rsid w:val="00E140EB"/>
    <w:rsid w:val="00E143AF"/>
    <w:rsid w:val="00E144B4"/>
    <w:rsid w:val="00E144FF"/>
    <w:rsid w:val="00E14C59"/>
    <w:rsid w:val="00E14D23"/>
    <w:rsid w:val="00E1501B"/>
    <w:rsid w:val="00E154CD"/>
    <w:rsid w:val="00E15A06"/>
    <w:rsid w:val="00E15D51"/>
    <w:rsid w:val="00E15D54"/>
    <w:rsid w:val="00E15F43"/>
    <w:rsid w:val="00E165DF"/>
    <w:rsid w:val="00E16F49"/>
    <w:rsid w:val="00E17A5A"/>
    <w:rsid w:val="00E17AC9"/>
    <w:rsid w:val="00E17B4D"/>
    <w:rsid w:val="00E17E70"/>
    <w:rsid w:val="00E20C35"/>
    <w:rsid w:val="00E20CE8"/>
    <w:rsid w:val="00E20D14"/>
    <w:rsid w:val="00E20E20"/>
    <w:rsid w:val="00E20F18"/>
    <w:rsid w:val="00E210C8"/>
    <w:rsid w:val="00E214CD"/>
    <w:rsid w:val="00E215AD"/>
    <w:rsid w:val="00E215B7"/>
    <w:rsid w:val="00E2168F"/>
    <w:rsid w:val="00E2170E"/>
    <w:rsid w:val="00E21862"/>
    <w:rsid w:val="00E220D3"/>
    <w:rsid w:val="00E2256A"/>
    <w:rsid w:val="00E22CAA"/>
    <w:rsid w:val="00E22E6E"/>
    <w:rsid w:val="00E22EF2"/>
    <w:rsid w:val="00E22F11"/>
    <w:rsid w:val="00E23073"/>
    <w:rsid w:val="00E231B2"/>
    <w:rsid w:val="00E232C7"/>
    <w:rsid w:val="00E2346E"/>
    <w:rsid w:val="00E23947"/>
    <w:rsid w:val="00E23B91"/>
    <w:rsid w:val="00E23BCE"/>
    <w:rsid w:val="00E23C09"/>
    <w:rsid w:val="00E24817"/>
    <w:rsid w:val="00E2485A"/>
    <w:rsid w:val="00E248F9"/>
    <w:rsid w:val="00E24D61"/>
    <w:rsid w:val="00E256F7"/>
    <w:rsid w:val="00E25714"/>
    <w:rsid w:val="00E25851"/>
    <w:rsid w:val="00E25EBE"/>
    <w:rsid w:val="00E260D2"/>
    <w:rsid w:val="00E2624E"/>
    <w:rsid w:val="00E263DB"/>
    <w:rsid w:val="00E264A9"/>
    <w:rsid w:val="00E26B77"/>
    <w:rsid w:val="00E26BAC"/>
    <w:rsid w:val="00E26DEB"/>
    <w:rsid w:val="00E26E57"/>
    <w:rsid w:val="00E26EA2"/>
    <w:rsid w:val="00E272F2"/>
    <w:rsid w:val="00E27449"/>
    <w:rsid w:val="00E2755C"/>
    <w:rsid w:val="00E27AE7"/>
    <w:rsid w:val="00E27BCE"/>
    <w:rsid w:val="00E27C2F"/>
    <w:rsid w:val="00E27C44"/>
    <w:rsid w:val="00E27DF6"/>
    <w:rsid w:val="00E27FFB"/>
    <w:rsid w:val="00E3045C"/>
    <w:rsid w:val="00E30C84"/>
    <w:rsid w:val="00E30D7E"/>
    <w:rsid w:val="00E30DA3"/>
    <w:rsid w:val="00E30DE3"/>
    <w:rsid w:val="00E3115B"/>
    <w:rsid w:val="00E31258"/>
    <w:rsid w:val="00E31352"/>
    <w:rsid w:val="00E3148F"/>
    <w:rsid w:val="00E315B4"/>
    <w:rsid w:val="00E3171E"/>
    <w:rsid w:val="00E31985"/>
    <w:rsid w:val="00E31AF4"/>
    <w:rsid w:val="00E31CD5"/>
    <w:rsid w:val="00E32383"/>
    <w:rsid w:val="00E32424"/>
    <w:rsid w:val="00E325DD"/>
    <w:rsid w:val="00E3264A"/>
    <w:rsid w:val="00E327FB"/>
    <w:rsid w:val="00E3295E"/>
    <w:rsid w:val="00E32ED7"/>
    <w:rsid w:val="00E32EEB"/>
    <w:rsid w:val="00E33615"/>
    <w:rsid w:val="00E33C9F"/>
    <w:rsid w:val="00E33DA6"/>
    <w:rsid w:val="00E33E66"/>
    <w:rsid w:val="00E34681"/>
    <w:rsid w:val="00E34747"/>
    <w:rsid w:val="00E34E78"/>
    <w:rsid w:val="00E34E9F"/>
    <w:rsid w:val="00E3522B"/>
    <w:rsid w:val="00E356E0"/>
    <w:rsid w:val="00E359F2"/>
    <w:rsid w:val="00E36514"/>
    <w:rsid w:val="00E36799"/>
    <w:rsid w:val="00E3681E"/>
    <w:rsid w:val="00E36B2C"/>
    <w:rsid w:val="00E36BAC"/>
    <w:rsid w:val="00E36CDC"/>
    <w:rsid w:val="00E370CA"/>
    <w:rsid w:val="00E371C4"/>
    <w:rsid w:val="00E37257"/>
    <w:rsid w:val="00E37A6E"/>
    <w:rsid w:val="00E37D65"/>
    <w:rsid w:val="00E37D9F"/>
    <w:rsid w:val="00E4010D"/>
    <w:rsid w:val="00E4020E"/>
    <w:rsid w:val="00E404D3"/>
    <w:rsid w:val="00E40504"/>
    <w:rsid w:val="00E406F0"/>
    <w:rsid w:val="00E4076E"/>
    <w:rsid w:val="00E40902"/>
    <w:rsid w:val="00E40FAB"/>
    <w:rsid w:val="00E41178"/>
    <w:rsid w:val="00E4125A"/>
    <w:rsid w:val="00E41611"/>
    <w:rsid w:val="00E41629"/>
    <w:rsid w:val="00E418A7"/>
    <w:rsid w:val="00E41BD5"/>
    <w:rsid w:val="00E41F3F"/>
    <w:rsid w:val="00E422C9"/>
    <w:rsid w:val="00E4235F"/>
    <w:rsid w:val="00E427E6"/>
    <w:rsid w:val="00E42CF9"/>
    <w:rsid w:val="00E42D58"/>
    <w:rsid w:val="00E42E5A"/>
    <w:rsid w:val="00E43598"/>
    <w:rsid w:val="00E435B3"/>
    <w:rsid w:val="00E43729"/>
    <w:rsid w:val="00E43814"/>
    <w:rsid w:val="00E43B4E"/>
    <w:rsid w:val="00E43B93"/>
    <w:rsid w:val="00E43EA4"/>
    <w:rsid w:val="00E4487E"/>
    <w:rsid w:val="00E44A58"/>
    <w:rsid w:val="00E44D71"/>
    <w:rsid w:val="00E44E50"/>
    <w:rsid w:val="00E44E7E"/>
    <w:rsid w:val="00E45069"/>
    <w:rsid w:val="00E45226"/>
    <w:rsid w:val="00E457D6"/>
    <w:rsid w:val="00E458C3"/>
    <w:rsid w:val="00E45DD6"/>
    <w:rsid w:val="00E45F35"/>
    <w:rsid w:val="00E46059"/>
    <w:rsid w:val="00E463E6"/>
    <w:rsid w:val="00E46525"/>
    <w:rsid w:val="00E46545"/>
    <w:rsid w:val="00E46572"/>
    <w:rsid w:val="00E46914"/>
    <w:rsid w:val="00E469EE"/>
    <w:rsid w:val="00E46A1D"/>
    <w:rsid w:val="00E46B45"/>
    <w:rsid w:val="00E46B73"/>
    <w:rsid w:val="00E4711F"/>
    <w:rsid w:val="00E47768"/>
    <w:rsid w:val="00E5017D"/>
    <w:rsid w:val="00E504DF"/>
    <w:rsid w:val="00E50704"/>
    <w:rsid w:val="00E507D4"/>
    <w:rsid w:val="00E50AF4"/>
    <w:rsid w:val="00E515C7"/>
    <w:rsid w:val="00E517E6"/>
    <w:rsid w:val="00E51842"/>
    <w:rsid w:val="00E51C31"/>
    <w:rsid w:val="00E51CF6"/>
    <w:rsid w:val="00E51D15"/>
    <w:rsid w:val="00E52589"/>
    <w:rsid w:val="00E5276F"/>
    <w:rsid w:val="00E532AD"/>
    <w:rsid w:val="00E53D15"/>
    <w:rsid w:val="00E53D56"/>
    <w:rsid w:val="00E53F51"/>
    <w:rsid w:val="00E54849"/>
    <w:rsid w:val="00E548FA"/>
    <w:rsid w:val="00E54CE7"/>
    <w:rsid w:val="00E54D61"/>
    <w:rsid w:val="00E5524E"/>
    <w:rsid w:val="00E55C7B"/>
    <w:rsid w:val="00E55FDF"/>
    <w:rsid w:val="00E56EC5"/>
    <w:rsid w:val="00E56F11"/>
    <w:rsid w:val="00E5745E"/>
    <w:rsid w:val="00E574F9"/>
    <w:rsid w:val="00E57519"/>
    <w:rsid w:val="00E575B7"/>
    <w:rsid w:val="00E5773A"/>
    <w:rsid w:val="00E57BB9"/>
    <w:rsid w:val="00E57E63"/>
    <w:rsid w:val="00E602F5"/>
    <w:rsid w:val="00E603FF"/>
    <w:rsid w:val="00E60434"/>
    <w:rsid w:val="00E606A7"/>
    <w:rsid w:val="00E60784"/>
    <w:rsid w:val="00E60892"/>
    <w:rsid w:val="00E60B7E"/>
    <w:rsid w:val="00E61027"/>
    <w:rsid w:val="00E612BE"/>
    <w:rsid w:val="00E61F49"/>
    <w:rsid w:val="00E61F4C"/>
    <w:rsid w:val="00E624E4"/>
    <w:rsid w:val="00E6254E"/>
    <w:rsid w:val="00E62629"/>
    <w:rsid w:val="00E636D5"/>
    <w:rsid w:val="00E6398B"/>
    <w:rsid w:val="00E63C86"/>
    <w:rsid w:val="00E63CF6"/>
    <w:rsid w:val="00E63DEB"/>
    <w:rsid w:val="00E63F62"/>
    <w:rsid w:val="00E64603"/>
    <w:rsid w:val="00E6516F"/>
    <w:rsid w:val="00E65293"/>
    <w:rsid w:val="00E6592D"/>
    <w:rsid w:val="00E65937"/>
    <w:rsid w:val="00E65987"/>
    <w:rsid w:val="00E65FFC"/>
    <w:rsid w:val="00E6692A"/>
    <w:rsid w:val="00E66B61"/>
    <w:rsid w:val="00E66FE3"/>
    <w:rsid w:val="00E67272"/>
    <w:rsid w:val="00E6731B"/>
    <w:rsid w:val="00E67D06"/>
    <w:rsid w:val="00E67EC3"/>
    <w:rsid w:val="00E67FCF"/>
    <w:rsid w:val="00E707F6"/>
    <w:rsid w:val="00E7092B"/>
    <w:rsid w:val="00E70D84"/>
    <w:rsid w:val="00E70F27"/>
    <w:rsid w:val="00E71569"/>
    <w:rsid w:val="00E71C50"/>
    <w:rsid w:val="00E72161"/>
    <w:rsid w:val="00E721DA"/>
    <w:rsid w:val="00E7247A"/>
    <w:rsid w:val="00E724E6"/>
    <w:rsid w:val="00E72754"/>
    <w:rsid w:val="00E72E15"/>
    <w:rsid w:val="00E73723"/>
    <w:rsid w:val="00E7388D"/>
    <w:rsid w:val="00E73E0F"/>
    <w:rsid w:val="00E73E83"/>
    <w:rsid w:val="00E742AB"/>
    <w:rsid w:val="00E74371"/>
    <w:rsid w:val="00E74422"/>
    <w:rsid w:val="00E74B01"/>
    <w:rsid w:val="00E74C03"/>
    <w:rsid w:val="00E74E78"/>
    <w:rsid w:val="00E74F46"/>
    <w:rsid w:val="00E75331"/>
    <w:rsid w:val="00E75365"/>
    <w:rsid w:val="00E7539D"/>
    <w:rsid w:val="00E756BC"/>
    <w:rsid w:val="00E75732"/>
    <w:rsid w:val="00E75C4D"/>
    <w:rsid w:val="00E75F65"/>
    <w:rsid w:val="00E76AA5"/>
    <w:rsid w:val="00E76D8F"/>
    <w:rsid w:val="00E76E6F"/>
    <w:rsid w:val="00E77036"/>
    <w:rsid w:val="00E7759E"/>
    <w:rsid w:val="00E77812"/>
    <w:rsid w:val="00E7781A"/>
    <w:rsid w:val="00E77999"/>
    <w:rsid w:val="00E800AB"/>
    <w:rsid w:val="00E80148"/>
    <w:rsid w:val="00E80891"/>
    <w:rsid w:val="00E81B81"/>
    <w:rsid w:val="00E81E9D"/>
    <w:rsid w:val="00E81F98"/>
    <w:rsid w:val="00E82241"/>
    <w:rsid w:val="00E824F9"/>
    <w:rsid w:val="00E82593"/>
    <w:rsid w:val="00E825AB"/>
    <w:rsid w:val="00E827D1"/>
    <w:rsid w:val="00E82E08"/>
    <w:rsid w:val="00E8306B"/>
    <w:rsid w:val="00E83101"/>
    <w:rsid w:val="00E83218"/>
    <w:rsid w:val="00E83AD7"/>
    <w:rsid w:val="00E83B16"/>
    <w:rsid w:val="00E83E2D"/>
    <w:rsid w:val="00E83ED9"/>
    <w:rsid w:val="00E83EE1"/>
    <w:rsid w:val="00E83FA5"/>
    <w:rsid w:val="00E8447C"/>
    <w:rsid w:val="00E84A8A"/>
    <w:rsid w:val="00E84AD7"/>
    <w:rsid w:val="00E84D74"/>
    <w:rsid w:val="00E8535B"/>
    <w:rsid w:val="00E8546A"/>
    <w:rsid w:val="00E85725"/>
    <w:rsid w:val="00E859D9"/>
    <w:rsid w:val="00E85A34"/>
    <w:rsid w:val="00E85BA0"/>
    <w:rsid w:val="00E85CBD"/>
    <w:rsid w:val="00E85FC8"/>
    <w:rsid w:val="00E86034"/>
    <w:rsid w:val="00E865C4"/>
    <w:rsid w:val="00E86768"/>
    <w:rsid w:val="00E8695F"/>
    <w:rsid w:val="00E86DBD"/>
    <w:rsid w:val="00E86E74"/>
    <w:rsid w:val="00E86F6C"/>
    <w:rsid w:val="00E8712E"/>
    <w:rsid w:val="00E871FE"/>
    <w:rsid w:val="00E87C49"/>
    <w:rsid w:val="00E87C5D"/>
    <w:rsid w:val="00E903E0"/>
    <w:rsid w:val="00E9042A"/>
    <w:rsid w:val="00E90788"/>
    <w:rsid w:val="00E90883"/>
    <w:rsid w:val="00E90AEC"/>
    <w:rsid w:val="00E90C72"/>
    <w:rsid w:val="00E90E27"/>
    <w:rsid w:val="00E91161"/>
    <w:rsid w:val="00E9117F"/>
    <w:rsid w:val="00E914B7"/>
    <w:rsid w:val="00E91AF2"/>
    <w:rsid w:val="00E9262D"/>
    <w:rsid w:val="00E92A15"/>
    <w:rsid w:val="00E92CBC"/>
    <w:rsid w:val="00E93122"/>
    <w:rsid w:val="00E93245"/>
    <w:rsid w:val="00E93354"/>
    <w:rsid w:val="00E939A8"/>
    <w:rsid w:val="00E941EC"/>
    <w:rsid w:val="00E943BE"/>
    <w:rsid w:val="00E9442F"/>
    <w:rsid w:val="00E944BF"/>
    <w:rsid w:val="00E9451C"/>
    <w:rsid w:val="00E94570"/>
    <w:rsid w:val="00E9467E"/>
    <w:rsid w:val="00E946D0"/>
    <w:rsid w:val="00E947BA"/>
    <w:rsid w:val="00E95010"/>
    <w:rsid w:val="00E95035"/>
    <w:rsid w:val="00E951C9"/>
    <w:rsid w:val="00E953E1"/>
    <w:rsid w:val="00E95454"/>
    <w:rsid w:val="00E95A38"/>
    <w:rsid w:val="00E95D16"/>
    <w:rsid w:val="00E95D4E"/>
    <w:rsid w:val="00E96767"/>
    <w:rsid w:val="00E96C59"/>
    <w:rsid w:val="00E96E3B"/>
    <w:rsid w:val="00E96FB4"/>
    <w:rsid w:val="00E9771D"/>
    <w:rsid w:val="00E9797A"/>
    <w:rsid w:val="00E979EB"/>
    <w:rsid w:val="00E97B22"/>
    <w:rsid w:val="00E97F4F"/>
    <w:rsid w:val="00EA01EC"/>
    <w:rsid w:val="00EA0238"/>
    <w:rsid w:val="00EA0301"/>
    <w:rsid w:val="00EA03D4"/>
    <w:rsid w:val="00EA08E1"/>
    <w:rsid w:val="00EA0A42"/>
    <w:rsid w:val="00EA0E61"/>
    <w:rsid w:val="00EA13A7"/>
    <w:rsid w:val="00EA15B6"/>
    <w:rsid w:val="00EA1B29"/>
    <w:rsid w:val="00EA1D38"/>
    <w:rsid w:val="00EA2126"/>
    <w:rsid w:val="00EA218F"/>
    <w:rsid w:val="00EA2ACC"/>
    <w:rsid w:val="00EA2E46"/>
    <w:rsid w:val="00EA2EF1"/>
    <w:rsid w:val="00EA3046"/>
    <w:rsid w:val="00EA3204"/>
    <w:rsid w:val="00EA334E"/>
    <w:rsid w:val="00EA3982"/>
    <w:rsid w:val="00EA39F1"/>
    <w:rsid w:val="00EA3A63"/>
    <w:rsid w:val="00EA3A8B"/>
    <w:rsid w:val="00EA3B7C"/>
    <w:rsid w:val="00EA4541"/>
    <w:rsid w:val="00EA4884"/>
    <w:rsid w:val="00EA48E3"/>
    <w:rsid w:val="00EA4BE8"/>
    <w:rsid w:val="00EA52D9"/>
    <w:rsid w:val="00EA56F7"/>
    <w:rsid w:val="00EA571F"/>
    <w:rsid w:val="00EA5C14"/>
    <w:rsid w:val="00EA5FB2"/>
    <w:rsid w:val="00EA623B"/>
    <w:rsid w:val="00EA6399"/>
    <w:rsid w:val="00EA644F"/>
    <w:rsid w:val="00EA65E1"/>
    <w:rsid w:val="00EA6F5D"/>
    <w:rsid w:val="00EA71F8"/>
    <w:rsid w:val="00EA7599"/>
    <w:rsid w:val="00EA776B"/>
    <w:rsid w:val="00EA7BD8"/>
    <w:rsid w:val="00EA7C35"/>
    <w:rsid w:val="00EA7E5B"/>
    <w:rsid w:val="00EB0110"/>
    <w:rsid w:val="00EB028D"/>
    <w:rsid w:val="00EB08F9"/>
    <w:rsid w:val="00EB0AEB"/>
    <w:rsid w:val="00EB0CB0"/>
    <w:rsid w:val="00EB0DF3"/>
    <w:rsid w:val="00EB0E67"/>
    <w:rsid w:val="00EB1458"/>
    <w:rsid w:val="00EB16AE"/>
    <w:rsid w:val="00EB186A"/>
    <w:rsid w:val="00EB1D07"/>
    <w:rsid w:val="00EB1DB6"/>
    <w:rsid w:val="00EB21A3"/>
    <w:rsid w:val="00EB2363"/>
    <w:rsid w:val="00EB267A"/>
    <w:rsid w:val="00EB2768"/>
    <w:rsid w:val="00EB2903"/>
    <w:rsid w:val="00EB29E7"/>
    <w:rsid w:val="00EB2B81"/>
    <w:rsid w:val="00EB2F39"/>
    <w:rsid w:val="00EB32A3"/>
    <w:rsid w:val="00EB32BB"/>
    <w:rsid w:val="00EB35C6"/>
    <w:rsid w:val="00EB38A0"/>
    <w:rsid w:val="00EB3AB0"/>
    <w:rsid w:val="00EB3E84"/>
    <w:rsid w:val="00EB41F8"/>
    <w:rsid w:val="00EB42A8"/>
    <w:rsid w:val="00EB4ADA"/>
    <w:rsid w:val="00EB4DBE"/>
    <w:rsid w:val="00EB4DC9"/>
    <w:rsid w:val="00EB50D2"/>
    <w:rsid w:val="00EB51E4"/>
    <w:rsid w:val="00EB5333"/>
    <w:rsid w:val="00EB5413"/>
    <w:rsid w:val="00EB5810"/>
    <w:rsid w:val="00EB5A78"/>
    <w:rsid w:val="00EB6341"/>
    <w:rsid w:val="00EB6527"/>
    <w:rsid w:val="00EB6A1F"/>
    <w:rsid w:val="00EB6CAA"/>
    <w:rsid w:val="00EB6DF7"/>
    <w:rsid w:val="00EB74E8"/>
    <w:rsid w:val="00EB7AE0"/>
    <w:rsid w:val="00EB7C75"/>
    <w:rsid w:val="00EC0410"/>
    <w:rsid w:val="00EC0467"/>
    <w:rsid w:val="00EC0BF7"/>
    <w:rsid w:val="00EC147F"/>
    <w:rsid w:val="00EC1DBF"/>
    <w:rsid w:val="00EC280C"/>
    <w:rsid w:val="00EC285D"/>
    <w:rsid w:val="00EC2AE2"/>
    <w:rsid w:val="00EC2D80"/>
    <w:rsid w:val="00EC2F16"/>
    <w:rsid w:val="00EC34B0"/>
    <w:rsid w:val="00EC3905"/>
    <w:rsid w:val="00EC3BB8"/>
    <w:rsid w:val="00EC3F1D"/>
    <w:rsid w:val="00EC454A"/>
    <w:rsid w:val="00EC456A"/>
    <w:rsid w:val="00EC4609"/>
    <w:rsid w:val="00EC4631"/>
    <w:rsid w:val="00EC46E8"/>
    <w:rsid w:val="00EC4703"/>
    <w:rsid w:val="00EC5233"/>
    <w:rsid w:val="00EC52A4"/>
    <w:rsid w:val="00EC54AE"/>
    <w:rsid w:val="00EC5739"/>
    <w:rsid w:val="00EC580E"/>
    <w:rsid w:val="00EC5A91"/>
    <w:rsid w:val="00EC5C94"/>
    <w:rsid w:val="00EC5CE3"/>
    <w:rsid w:val="00EC61C8"/>
    <w:rsid w:val="00EC6277"/>
    <w:rsid w:val="00EC64DD"/>
    <w:rsid w:val="00EC6875"/>
    <w:rsid w:val="00EC6E30"/>
    <w:rsid w:val="00EC71AF"/>
    <w:rsid w:val="00EC73CE"/>
    <w:rsid w:val="00EC7686"/>
    <w:rsid w:val="00EC7993"/>
    <w:rsid w:val="00EC7B6D"/>
    <w:rsid w:val="00EC7BD7"/>
    <w:rsid w:val="00ED0068"/>
    <w:rsid w:val="00ED01B0"/>
    <w:rsid w:val="00ED02D8"/>
    <w:rsid w:val="00ED02DA"/>
    <w:rsid w:val="00ED0C34"/>
    <w:rsid w:val="00ED0DEF"/>
    <w:rsid w:val="00ED1351"/>
    <w:rsid w:val="00ED139A"/>
    <w:rsid w:val="00ED13B5"/>
    <w:rsid w:val="00ED16C9"/>
    <w:rsid w:val="00ED189D"/>
    <w:rsid w:val="00ED1921"/>
    <w:rsid w:val="00ED1923"/>
    <w:rsid w:val="00ED1951"/>
    <w:rsid w:val="00ED1A5F"/>
    <w:rsid w:val="00ED1F5D"/>
    <w:rsid w:val="00ED291F"/>
    <w:rsid w:val="00ED2D35"/>
    <w:rsid w:val="00ED301A"/>
    <w:rsid w:val="00ED32C8"/>
    <w:rsid w:val="00ED3643"/>
    <w:rsid w:val="00ED36B8"/>
    <w:rsid w:val="00ED3937"/>
    <w:rsid w:val="00ED399F"/>
    <w:rsid w:val="00ED4205"/>
    <w:rsid w:val="00ED47EC"/>
    <w:rsid w:val="00ED4B2B"/>
    <w:rsid w:val="00ED4C4D"/>
    <w:rsid w:val="00ED4E3B"/>
    <w:rsid w:val="00ED4F8E"/>
    <w:rsid w:val="00ED5031"/>
    <w:rsid w:val="00ED5709"/>
    <w:rsid w:val="00ED5798"/>
    <w:rsid w:val="00ED5896"/>
    <w:rsid w:val="00ED5973"/>
    <w:rsid w:val="00ED5D12"/>
    <w:rsid w:val="00ED5E08"/>
    <w:rsid w:val="00ED6161"/>
    <w:rsid w:val="00ED6B8D"/>
    <w:rsid w:val="00ED6FCB"/>
    <w:rsid w:val="00ED7497"/>
    <w:rsid w:val="00ED7557"/>
    <w:rsid w:val="00EE0424"/>
    <w:rsid w:val="00EE0484"/>
    <w:rsid w:val="00EE04BC"/>
    <w:rsid w:val="00EE0B68"/>
    <w:rsid w:val="00EE0FA5"/>
    <w:rsid w:val="00EE1426"/>
    <w:rsid w:val="00EE14EF"/>
    <w:rsid w:val="00EE198D"/>
    <w:rsid w:val="00EE1C49"/>
    <w:rsid w:val="00EE1E4A"/>
    <w:rsid w:val="00EE21A0"/>
    <w:rsid w:val="00EE294D"/>
    <w:rsid w:val="00EE2B03"/>
    <w:rsid w:val="00EE2FEF"/>
    <w:rsid w:val="00EE380B"/>
    <w:rsid w:val="00EE3C1F"/>
    <w:rsid w:val="00EE3EA9"/>
    <w:rsid w:val="00EE40A4"/>
    <w:rsid w:val="00EE4121"/>
    <w:rsid w:val="00EE435F"/>
    <w:rsid w:val="00EE45A2"/>
    <w:rsid w:val="00EE52A6"/>
    <w:rsid w:val="00EE52FA"/>
    <w:rsid w:val="00EE55AC"/>
    <w:rsid w:val="00EE564A"/>
    <w:rsid w:val="00EE5700"/>
    <w:rsid w:val="00EE58D3"/>
    <w:rsid w:val="00EE5C45"/>
    <w:rsid w:val="00EE5C7A"/>
    <w:rsid w:val="00EE5E31"/>
    <w:rsid w:val="00EE6B67"/>
    <w:rsid w:val="00EE6D1A"/>
    <w:rsid w:val="00EE6D6C"/>
    <w:rsid w:val="00EE7035"/>
    <w:rsid w:val="00EE7696"/>
    <w:rsid w:val="00EE7838"/>
    <w:rsid w:val="00EF088A"/>
    <w:rsid w:val="00EF097E"/>
    <w:rsid w:val="00EF09B7"/>
    <w:rsid w:val="00EF0E9E"/>
    <w:rsid w:val="00EF10C4"/>
    <w:rsid w:val="00EF133F"/>
    <w:rsid w:val="00EF1432"/>
    <w:rsid w:val="00EF1452"/>
    <w:rsid w:val="00EF1D16"/>
    <w:rsid w:val="00EF23CC"/>
    <w:rsid w:val="00EF2625"/>
    <w:rsid w:val="00EF2759"/>
    <w:rsid w:val="00EF2804"/>
    <w:rsid w:val="00EF289A"/>
    <w:rsid w:val="00EF2E95"/>
    <w:rsid w:val="00EF31CD"/>
    <w:rsid w:val="00EF347C"/>
    <w:rsid w:val="00EF377F"/>
    <w:rsid w:val="00EF438B"/>
    <w:rsid w:val="00EF4E5F"/>
    <w:rsid w:val="00EF5310"/>
    <w:rsid w:val="00EF53F3"/>
    <w:rsid w:val="00EF5454"/>
    <w:rsid w:val="00EF561E"/>
    <w:rsid w:val="00EF57FC"/>
    <w:rsid w:val="00EF59FB"/>
    <w:rsid w:val="00EF5A08"/>
    <w:rsid w:val="00EF5A4D"/>
    <w:rsid w:val="00EF5C31"/>
    <w:rsid w:val="00EF5FE2"/>
    <w:rsid w:val="00EF6127"/>
    <w:rsid w:val="00EF687C"/>
    <w:rsid w:val="00EF69BD"/>
    <w:rsid w:val="00EF6A4C"/>
    <w:rsid w:val="00EF6C86"/>
    <w:rsid w:val="00EF6ECB"/>
    <w:rsid w:val="00EF6FD1"/>
    <w:rsid w:val="00EF7091"/>
    <w:rsid w:val="00EF75DF"/>
    <w:rsid w:val="00EF77B1"/>
    <w:rsid w:val="00EF78D5"/>
    <w:rsid w:val="00EF7A8E"/>
    <w:rsid w:val="00EF7CB7"/>
    <w:rsid w:val="00F00064"/>
    <w:rsid w:val="00F0018A"/>
    <w:rsid w:val="00F003D6"/>
    <w:rsid w:val="00F0045F"/>
    <w:rsid w:val="00F007D2"/>
    <w:rsid w:val="00F01B91"/>
    <w:rsid w:val="00F01BB4"/>
    <w:rsid w:val="00F01D77"/>
    <w:rsid w:val="00F0203E"/>
    <w:rsid w:val="00F021DB"/>
    <w:rsid w:val="00F023A7"/>
    <w:rsid w:val="00F02B31"/>
    <w:rsid w:val="00F02C85"/>
    <w:rsid w:val="00F02EA7"/>
    <w:rsid w:val="00F03299"/>
    <w:rsid w:val="00F0355D"/>
    <w:rsid w:val="00F03A92"/>
    <w:rsid w:val="00F03EBF"/>
    <w:rsid w:val="00F0413E"/>
    <w:rsid w:val="00F0416E"/>
    <w:rsid w:val="00F0425E"/>
    <w:rsid w:val="00F0429A"/>
    <w:rsid w:val="00F0474C"/>
    <w:rsid w:val="00F04CA7"/>
    <w:rsid w:val="00F05561"/>
    <w:rsid w:val="00F05AEA"/>
    <w:rsid w:val="00F05B0F"/>
    <w:rsid w:val="00F05D34"/>
    <w:rsid w:val="00F05FA0"/>
    <w:rsid w:val="00F06008"/>
    <w:rsid w:val="00F060BE"/>
    <w:rsid w:val="00F061DF"/>
    <w:rsid w:val="00F063FC"/>
    <w:rsid w:val="00F0659F"/>
    <w:rsid w:val="00F06DDC"/>
    <w:rsid w:val="00F076CD"/>
    <w:rsid w:val="00F077A6"/>
    <w:rsid w:val="00F077C6"/>
    <w:rsid w:val="00F07EEC"/>
    <w:rsid w:val="00F07F54"/>
    <w:rsid w:val="00F1002D"/>
    <w:rsid w:val="00F101E3"/>
    <w:rsid w:val="00F1040B"/>
    <w:rsid w:val="00F1059E"/>
    <w:rsid w:val="00F10C12"/>
    <w:rsid w:val="00F10DD3"/>
    <w:rsid w:val="00F10EE6"/>
    <w:rsid w:val="00F1118E"/>
    <w:rsid w:val="00F11226"/>
    <w:rsid w:val="00F118B6"/>
    <w:rsid w:val="00F11D3A"/>
    <w:rsid w:val="00F11D7F"/>
    <w:rsid w:val="00F11D9C"/>
    <w:rsid w:val="00F121E7"/>
    <w:rsid w:val="00F12398"/>
    <w:rsid w:val="00F1255F"/>
    <w:rsid w:val="00F126F9"/>
    <w:rsid w:val="00F12DE2"/>
    <w:rsid w:val="00F12E6A"/>
    <w:rsid w:val="00F12F0E"/>
    <w:rsid w:val="00F136CF"/>
    <w:rsid w:val="00F1377A"/>
    <w:rsid w:val="00F13CA5"/>
    <w:rsid w:val="00F13E18"/>
    <w:rsid w:val="00F1478D"/>
    <w:rsid w:val="00F147FC"/>
    <w:rsid w:val="00F149A1"/>
    <w:rsid w:val="00F149F0"/>
    <w:rsid w:val="00F14A42"/>
    <w:rsid w:val="00F14DB5"/>
    <w:rsid w:val="00F1514C"/>
    <w:rsid w:val="00F152E1"/>
    <w:rsid w:val="00F154F0"/>
    <w:rsid w:val="00F15612"/>
    <w:rsid w:val="00F15E03"/>
    <w:rsid w:val="00F15F38"/>
    <w:rsid w:val="00F16179"/>
    <w:rsid w:val="00F16416"/>
    <w:rsid w:val="00F167A5"/>
    <w:rsid w:val="00F16C0E"/>
    <w:rsid w:val="00F16C33"/>
    <w:rsid w:val="00F16C5E"/>
    <w:rsid w:val="00F16CFB"/>
    <w:rsid w:val="00F171A2"/>
    <w:rsid w:val="00F17309"/>
    <w:rsid w:val="00F17583"/>
    <w:rsid w:val="00F17A05"/>
    <w:rsid w:val="00F17C88"/>
    <w:rsid w:val="00F20119"/>
    <w:rsid w:val="00F206DD"/>
    <w:rsid w:val="00F20841"/>
    <w:rsid w:val="00F209A7"/>
    <w:rsid w:val="00F20BF2"/>
    <w:rsid w:val="00F20D56"/>
    <w:rsid w:val="00F20D6A"/>
    <w:rsid w:val="00F2127F"/>
    <w:rsid w:val="00F21767"/>
    <w:rsid w:val="00F21AA0"/>
    <w:rsid w:val="00F21C84"/>
    <w:rsid w:val="00F21CAA"/>
    <w:rsid w:val="00F21DD3"/>
    <w:rsid w:val="00F2250B"/>
    <w:rsid w:val="00F228ED"/>
    <w:rsid w:val="00F22D1C"/>
    <w:rsid w:val="00F22FE2"/>
    <w:rsid w:val="00F232C2"/>
    <w:rsid w:val="00F232EC"/>
    <w:rsid w:val="00F23E23"/>
    <w:rsid w:val="00F23FB3"/>
    <w:rsid w:val="00F242B0"/>
    <w:rsid w:val="00F2431C"/>
    <w:rsid w:val="00F249D9"/>
    <w:rsid w:val="00F24A80"/>
    <w:rsid w:val="00F24DCB"/>
    <w:rsid w:val="00F24E68"/>
    <w:rsid w:val="00F250E3"/>
    <w:rsid w:val="00F2528C"/>
    <w:rsid w:val="00F25302"/>
    <w:rsid w:val="00F25464"/>
    <w:rsid w:val="00F259A5"/>
    <w:rsid w:val="00F25A40"/>
    <w:rsid w:val="00F25D7F"/>
    <w:rsid w:val="00F25DA4"/>
    <w:rsid w:val="00F26206"/>
    <w:rsid w:val="00F264DA"/>
    <w:rsid w:val="00F26706"/>
    <w:rsid w:val="00F268DB"/>
    <w:rsid w:val="00F26A93"/>
    <w:rsid w:val="00F26DA4"/>
    <w:rsid w:val="00F26F63"/>
    <w:rsid w:val="00F27073"/>
    <w:rsid w:val="00F274D1"/>
    <w:rsid w:val="00F277B0"/>
    <w:rsid w:val="00F27C34"/>
    <w:rsid w:val="00F27E96"/>
    <w:rsid w:val="00F30474"/>
    <w:rsid w:val="00F3081E"/>
    <w:rsid w:val="00F30B8E"/>
    <w:rsid w:val="00F30CD3"/>
    <w:rsid w:val="00F30D49"/>
    <w:rsid w:val="00F31753"/>
    <w:rsid w:val="00F317B7"/>
    <w:rsid w:val="00F318B0"/>
    <w:rsid w:val="00F31EDE"/>
    <w:rsid w:val="00F31FB9"/>
    <w:rsid w:val="00F3213B"/>
    <w:rsid w:val="00F324BA"/>
    <w:rsid w:val="00F32C56"/>
    <w:rsid w:val="00F32D70"/>
    <w:rsid w:val="00F33080"/>
    <w:rsid w:val="00F330C9"/>
    <w:rsid w:val="00F33269"/>
    <w:rsid w:val="00F336B5"/>
    <w:rsid w:val="00F341A1"/>
    <w:rsid w:val="00F344C5"/>
    <w:rsid w:val="00F34631"/>
    <w:rsid w:val="00F34817"/>
    <w:rsid w:val="00F350C7"/>
    <w:rsid w:val="00F356FF"/>
    <w:rsid w:val="00F35B33"/>
    <w:rsid w:val="00F35EED"/>
    <w:rsid w:val="00F36017"/>
    <w:rsid w:val="00F3625E"/>
    <w:rsid w:val="00F363A9"/>
    <w:rsid w:val="00F363F4"/>
    <w:rsid w:val="00F369B3"/>
    <w:rsid w:val="00F369BD"/>
    <w:rsid w:val="00F36A7E"/>
    <w:rsid w:val="00F36ACD"/>
    <w:rsid w:val="00F36DDE"/>
    <w:rsid w:val="00F36E20"/>
    <w:rsid w:val="00F36F79"/>
    <w:rsid w:val="00F3726D"/>
    <w:rsid w:val="00F37403"/>
    <w:rsid w:val="00F37452"/>
    <w:rsid w:val="00F37AE0"/>
    <w:rsid w:val="00F37B22"/>
    <w:rsid w:val="00F405AD"/>
    <w:rsid w:val="00F414F0"/>
    <w:rsid w:val="00F4195A"/>
    <w:rsid w:val="00F427DC"/>
    <w:rsid w:val="00F42CBD"/>
    <w:rsid w:val="00F42DF3"/>
    <w:rsid w:val="00F42E9A"/>
    <w:rsid w:val="00F43297"/>
    <w:rsid w:val="00F4365C"/>
    <w:rsid w:val="00F43824"/>
    <w:rsid w:val="00F4388C"/>
    <w:rsid w:val="00F43AFD"/>
    <w:rsid w:val="00F43B32"/>
    <w:rsid w:val="00F43D48"/>
    <w:rsid w:val="00F43D57"/>
    <w:rsid w:val="00F440AC"/>
    <w:rsid w:val="00F44465"/>
    <w:rsid w:val="00F4474B"/>
    <w:rsid w:val="00F44971"/>
    <w:rsid w:val="00F4571E"/>
    <w:rsid w:val="00F45959"/>
    <w:rsid w:val="00F45AA5"/>
    <w:rsid w:val="00F4614D"/>
    <w:rsid w:val="00F463BA"/>
    <w:rsid w:val="00F46890"/>
    <w:rsid w:val="00F468B5"/>
    <w:rsid w:val="00F46953"/>
    <w:rsid w:val="00F46EF9"/>
    <w:rsid w:val="00F473B0"/>
    <w:rsid w:val="00F473F0"/>
    <w:rsid w:val="00F4795C"/>
    <w:rsid w:val="00F47A11"/>
    <w:rsid w:val="00F47CBB"/>
    <w:rsid w:val="00F501C5"/>
    <w:rsid w:val="00F506D8"/>
    <w:rsid w:val="00F5086C"/>
    <w:rsid w:val="00F50965"/>
    <w:rsid w:val="00F50CCD"/>
    <w:rsid w:val="00F50E44"/>
    <w:rsid w:val="00F51384"/>
    <w:rsid w:val="00F52171"/>
    <w:rsid w:val="00F52719"/>
    <w:rsid w:val="00F52819"/>
    <w:rsid w:val="00F52851"/>
    <w:rsid w:val="00F52FF5"/>
    <w:rsid w:val="00F531B8"/>
    <w:rsid w:val="00F5326B"/>
    <w:rsid w:val="00F532A3"/>
    <w:rsid w:val="00F53AF6"/>
    <w:rsid w:val="00F53B49"/>
    <w:rsid w:val="00F53B70"/>
    <w:rsid w:val="00F53F38"/>
    <w:rsid w:val="00F54153"/>
    <w:rsid w:val="00F5462D"/>
    <w:rsid w:val="00F54994"/>
    <w:rsid w:val="00F54B6A"/>
    <w:rsid w:val="00F54DC0"/>
    <w:rsid w:val="00F54F72"/>
    <w:rsid w:val="00F550EB"/>
    <w:rsid w:val="00F5526F"/>
    <w:rsid w:val="00F553C6"/>
    <w:rsid w:val="00F5552D"/>
    <w:rsid w:val="00F558C3"/>
    <w:rsid w:val="00F55C01"/>
    <w:rsid w:val="00F55DBF"/>
    <w:rsid w:val="00F56124"/>
    <w:rsid w:val="00F5629D"/>
    <w:rsid w:val="00F56626"/>
    <w:rsid w:val="00F569C3"/>
    <w:rsid w:val="00F56B2E"/>
    <w:rsid w:val="00F56D1C"/>
    <w:rsid w:val="00F56EFE"/>
    <w:rsid w:val="00F57563"/>
    <w:rsid w:val="00F5776B"/>
    <w:rsid w:val="00F57C02"/>
    <w:rsid w:val="00F57E55"/>
    <w:rsid w:val="00F57F6C"/>
    <w:rsid w:val="00F60084"/>
    <w:rsid w:val="00F60194"/>
    <w:rsid w:val="00F6035B"/>
    <w:rsid w:val="00F60396"/>
    <w:rsid w:val="00F603D7"/>
    <w:rsid w:val="00F60613"/>
    <w:rsid w:val="00F60B5C"/>
    <w:rsid w:val="00F60BB9"/>
    <w:rsid w:val="00F60BBA"/>
    <w:rsid w:val="00F61D77"/>
    <w:rsid w:val="00F6251C"/>
    <w:rsid w:val="00F62602"/>
    <w:rsid w:val="00F626C0"/>
    <w:rsid w:val="00F627F8"/>
    <w:rsid w:val="00F62821"/>
    <w:rsid w:val="00F6294A"/>
    <w:rsid w:val="00F62A3E"/>
    <w:rsid w:val="00F62AC2"/>
    <w:rsid w:val="00F62BAE"/>
    <w:rsid w:val="00F62F6F"/>
    <w:rsid w:val="00F62FD9"/>
    <w:rsid w:val="00F631F7"/>
    <w:rsid w:val="00F633E0"/>
    <w:rsid w:val="00F63650"/>
    <w:rsid w:val="00F6380D"/>
    <w:rsid w:val="00F63A8F"/>
    <w:rsid w:val="00F63DD2"/>
    <w:rsid w:val="00F6440A"/>
    <w:rsid w:val="00F644C1"/>
    <w:rsid w:val="00F646C3"/>
    <w:rsid w:val="00F64C94"/>
    <w:rsid w:val="00F64CFF"/>
    <w:rsid w:val="00F64E97"/>
    <w:rsid w:val="00F64F89"/>
    <w:rsid w:val="00F64FB4"/>
    <w:rsid w:val="00F65114"/>
    <w:rsid w:val="00F65396"/>
    <w:rsid w:val="00F658CF"/>
    <w:rsid w:val="00F6590C"/>
    <w:rsid w:val="00F659EA"/>
    <w:rsid w:val="00F662B4"/>
    <w:rsid w:val="00F662F4"/>
    <w:rsid w:val="00F666AF"/>
    <w:rsid w:val="00F667B6"/>
    <w:rsid w:val="00F668DC"/>
    <w:rsid w:val="00F668FD"/>
    <w:rsid w:val="00F66CD9"/>
    <w:rsid w:val="00F67590"/>
    <w:rsid w:val="00F67773"/>
    <w:rsid w:val="00F677BC"/>
    <w:rsid w:val="00F6795A"/>
    <w:rsid w:val="00F67A1F"/>
    <w:rsid w:val="00F67AB7"/>
    <w:rsid w:val="00F67E07"/>
    <w:rsid w:val="00F7000C"/>
    <w:rsid w:val="00F700A2"/>
    <w:rsid w:val="00F7013B"/>
    <w:rsid w:val="00F706D8"/>
    <w:rsid w:val="00F70744"/>
    <w:rsid w:val="00F707BE"/>
    <w:rsid w:val="00F713D8"/>
    <w:rsid w:val="00F714A1"/>
    <w:rsid w:val="00F717A3"/>
    <w:rsid w:val="00F71D86"/>
    <w:rsid w:val="00F71FB3"/>
    <w:rsid w:val="00F71FC2"/>
    <w:rsid w:val="00F722BF"/>
    <w:rsid w:val="00F728B7"/>
    <w:rsid w:val="00F72EAA"/>
    <w:rsid w:val="00F7328E"/>
    <w:rsid w:val="00F736B1"/>
    <w:rsid w:val="00F738C8"/>
    <w:rsid w:val="00F73AB0"/>
    <w:rsid w:val="00F73BE9"/>
    <w:rsid w:val="00F73C5F"/>
    <w:rsid w:val="00F74112"/>
    <w:rsid w:val="00F743ED"/>
    <w:rsid w:val="00F74905"/>
    <w:rsid w:val="00F74967"/>
    <w:rsid w:val="00F74973"/>
    <w:rsid w:val="00F74FD5"/>
    <w:rsid w:val="00F75045"/>
    <w:rsid w:val="00F75476"/>
    <w:rsid w:val="00F7568B"/>
    <w:rsid w:val="00F759EE"/>
    <w:rsid w:val="00F75C45"/>
    <w:rsid w:val="00F75E80"/>
    <w:rsid w:val="00F76023"/>
    <w:rsid w:val="00F76068"/>
    <w:rsid w:val="00F761AA"/>
    <w:rsid w:val="00F76314"/>
    <w:rsid w:val="00F766AF"/>
    <w:rsid w:val="00F7697B"/>
    <w:rsid w:val="00F76E4B"/>
    <w:rsid w:val="00F7727C"/>
    <w:rsid w:val="00F7772F"/>
    <w:rsid w:val="00F7777F"/>
    <w:rsid w:val="00F77869"/>
    <w:rsid w:val="00F8087F"/>
    <w:rsid w:val="00F80A76"/>
    <w:rsid w:val="00F80A7E"/>
    <w:rsid w:val="00F81174"/>
    <w:rsid w:val="00F811FA"/>
    <w:rsid w:val="00F81514"/>
    <w:rsid w:val="00F81B37"/>
    <w:rsid w:val="00F81D30"/>
    <w:rsid w:val="00F81FDC"/>
    <w:rsid w:val="00F8207F"/>
    <w:rsid w:val="00F8231A"/>
    <w:rsid w:val="00F82585"/>
    <w:rsid w:val="00F83257"/>
    <w:rsid w:val="00F834E3"/>
    <w:rsid w:val="00F83873"/>
    <w:rsid w:val="00F839C7"/>
    <w:rsid w:val="00F83ABC"/>
    <w:rsid w:val="00F83AE1"/>
    <w:rsid w:val="00F83AFD"/>
    <w:rsid w:val="00F83CDC"/>
    <w:rsid w:val="00F840DF"/>
    <w:rsid w:val="00F84617"/>
    <w:rsid w:val="00F84868"/>
    <w:rsid w:val="00F8505B"/>
    <w:rsid w:val="00F851B2"/>
    <w:rsid w:val="00F8528C"/>
    <w:rsid w:val="00F854EC"/>
    <w:rsid w:val="00F8567C"/>
    <w:rsid w:val="00F8624A"/>
    <w:rsid w:val="00F86867"/>
    <w:rsid w:val="00F868F4"/>
    <w:rsid w:val="00F86ABD"/>
    <w:rsid w:val="00F86D62"/>
    <w:rsid w:val="00F86E6B"/>
    <w:rsid w:val="00F876B9"/>
    <w:rsid w:val="00F876D2"/>
    <w:rsid w:val="00F87E36"/>
    <w:rsid w:val="00F90514"/>
    <w:rsid w:val="00F90703"/>
    <w:rsid w:val="00F90A70"/>
    <w:rsid w:val="00F91270"/>
    <w:rsid w:val="00F91411"/>
    <w:rsid w:val="00F916CA"/>
    <w:rsid w:val="00F91CFA"/>
    <w:rsid w:val="00F91F2E"/>
    <w:rsid w:val="00F92DC0"/>
    <w:rsid w:val="00F93102"/>
    <w:rsid w:val="00F93FA8"/>
    <w:rsid w:val="00F93FD9"/>
    <w:rsid w:val="00F94017"/>
    <w:rsid w:val="00F948BE"/>
    <w:rsid w:val="00F94BA4"/>
    <w:rsid w:val="00F94C51"/>
    <w:rsid w:val="00F95772"/>
    <w:rsid w:val="00F95B51"/>
    <w:rsid w:val="00F95E93"/>
    <w:rsid w:val="00F95F47"/>
    <w:rsid w:val="00F965A2"/>
    <w:rsid w:val="00F965B6"/>
    <w:rsid w:val="00F9665E"/>
    <w:rsid w:val="00F9676D"/>
    <w:rsid w:val="00F967FE"/>
    <w:rsid w:val="00F96A3D"/>
    <w:rsid w:val="00F96AD9"/>
    <w:rsid w:val="00F96C3D"/>
    <w:rsid w:val="00F97504"/>
    <w:rsid w:val="00FA034D"/>
    <w:rsid w:val="00FA047C"/>
    <w:rsid w:val="00FA0A15"/>
    <w:rsid w:val="00FA0DA5"/>
    <w:rsid w:val="00FA0DB4"/>
    <w:rsid w:val="00FA0EBB"/>
    <w:rsid w:val="00FA0FA7"/>
    <w:rsid w:val="00FA1012"/>
    <w:rsid w:val="00FA1066"/>
    <w:rsid w:val="00FA1520"/>
    <w:rsid w:val="00FA1A45"/>
    <w:rsid w:val="00FA1BD9"/>
    <w:rsid w:val="00FA1D4A"/>
    <w:rsid w:val="00FA2115"/>
    <w:rsid w:val="00FA2214"/>
    <w:rsid w:val="00FA2A13"/>
    <w:rsid w:val="00FA2D40"/>
    <w:rsid w:val="00FA2D9D"/>
    <w:rsid w:val="00FA2E48"/>
    <w:rsid w:val="00FA2F96"/>
    <w:rsid w:val="00FA3018"/>
    <w:rsid w:val="00FA30F4"/>
    <w:rsid w:val="00FA33E7"/>
    <w:rsid w:val="00FA35A9"/>
    <w:rsid w:val="00FA36DA"/>
    <w:rsid w:val="00FA3F7F"/>
    <w:rsid w:val="00FA46C7"/>
    <w:rsid w:val="00FA4BA7"/>
    <w:rsid w:val="00FA4E30"/>
    <w:rsid w:val="00FA4F3F"/>
    <w:rsid w:val="00FA61F3"/>
    <w:rsid w:val="00FA6261"/>
    <w:rsid w:val="00FA64B5"/>
    <w:rsid w:val="00FA663F"/>
    <w:rsid w:val="00FA6975"/>
    <w:rsid w:val="00FA6A2F"/>
    <w:rsid w:val="00FA6BD2"/>
    <w:rsid w:val="00FA6BF8"/>
    <w:rsid w:val="00FA6C9F"/>
    <w:rsid w:val="00FA6E73"/>
    <w:rsid w:val="00FA6FF2"/>
    <w:rsid w:val="00FA7492"/>
    <w:rsid w:val="00FA7526"/>
    <w:rsid w:val="00FA75B6"/>
    <w:rsid w:val="00FA7775"/>
    <w:rsid w:val="00FA77CA"/>
    <w:rsid w:val="00FA77F7"/>
    <w:rsid w:val="00FA7A1C"/>
    <w:rsid w:val="00FA7B04"/>
    <w:rsid w:val="00FB04E4"/>
    <w:rsid w:val="00FB095F"/>
    <w:rsid w:val="00FB0C73"/>
    <w:rsid w:val="00FB0DC7"/>
    <w:rsid w:val="00FB1471"/>
    <w:rsid w:val="00FB1500"/>
    <w:rsid w:val="00FB17BB"/>
    <w:rsid w:val="00FB2004"/>
    <w:rsid w:val="00FB224E"/>
    <w:rsid w:val="00FB2361"/>
    <w:rsid w:val="00FB24D8"/>
    <w:rsid w:val="00FB26A2"/>
    <w:rsid w:val="00FB2776"/>
    <w:rsid w:val="00FB277D"/>
    <w:rsid w:val="00FB27EC"/>
    <w:rsid w:val="00FB28DD"/>
    <w:rsid w:val="00FB2ABE"/>
    <w:rsid w:val="00FB2F5A"/>
    <w:rsid w:val="00FB31C9"/>
    <w:rsid w:val="00FB339D"/>
    <w:rsid w:val="00FB3931"/>
    <w:rsid w:val="00FB3CA1"/>
    <w:rsid w:val="00FB3DC8"/>
    <w:rsid w:val="00FB4004"/>
    <w:rsid w:val="00FB4666"/>
    <w:rsid w:val="00FB4762"/>
    <w:rsid w:val="00FB484E"/>
    <w:rsid w:val="00FB49E5"/>
    <w:rsid w:val="00FB4FAA"/>
    <w:rsid w:val="00FB5157"/>
    <w:rsid w:val="00FB5202"/>
    <w:rsid w:val="00FB5316"/>
    <w:rsid w:val="00FB5415"/>
    <w:rsid w:val="00FB55C1"/>
    <w:rsid w:val="00FB5982"/>
    <w:rsid w:val="00FB59CD"/>
    <w:rsid w:val="00FB5A47"/>
    <w:rsid w:val="00FB5D24"/>
    <w:rsid w:val="00FB5E31"/>
    <w:rsid w:val="00FB5F60"/>
    <w:rsid w:val="00FB616F"/>
    <w:rsid w:val="00FB66F9"/>
    <w:rsid w:val="00FB67F7"/>
    <w:rsid w:val="00FB6BEB"/>
    <w:rsid w:val="00FB6EFE"/>
    <w:rsid w:val="00FB704E"/>
    <w:rsid w:val="00FB7100"/>
    <w:rsid w:val="00FB77C1"/>
    <w:rsid w:val="00FB78BD"/>
    <w:rsid w:val="00FB79BE"/>
    <w:rsid w:val="00FC0362"/>
    <w:rsid w:val="00FC05D9"/>
    <w:rsid w:val="00FC0C05"/>
    <w:rsid w:val="00FC1079"/>
    <w:rsid w:val="00FC153F"/>
    <w:rsid w:val="00FC1618"/>
    <w:rsid w:val="00FC1C6C"/>
    <w:rsid w:val="00FC1E5B"/>
    <w:rsid w:val="00FC1E98"/>
    <w:rsid w:val="00FC1F62"/>
    <w:rsid w:val="00FC2AD2"/>
    <w:rsid w:val="00FC2B75"/>
    <w:rsid w:val="00FC2D66"/>
    <w:rsid w:val="00FC2E81"/>
    <w:rsid w:val="00FC2EDE"/>
    <w:rsid w:val="00FC38A4"/>
    <w:rsid w:val="00FC3A82"/>
    <w:rsid w:val="00FC3DF1"/>
    <w:rsid w:val="00FC452E"/>
    <w:rsid w:val="00FC45AE"/>
    <w:rsid w:val="00FC53A9"/>
    <w:rsid w:val="00FC5CE2"/>
    <w:rsid w:val="00FC5DD0"/>
    <w:rsid w:val="00FC604D"/>
    <w:rsid w:val="00FC622F"/>
    <w:rsid w:val="00FC66AF"/>
    <w:rsid w:val="00FC6753"/>
    <w:rsid w:val="00FC6756"/>
    <w:rsid w:val="00FC696D"/>
    <w:rsid w:val="00FC6DEB"/>
    <w:rsid w:val="00FC7229"/>
    <w:rsid w:val="00FC7683"/>
    <w:rsid w:val="00FC7C18"/>
    <w:rsid w:val="00FC7FA3"/>
    <w:rsid w:val="00FD02DC"/>
    <w:rsid w:val="00FD09F8"/>
    <w:rsid w:val="00FD0CC0"/>
    <w:rsid w:val="00FD137D"/>
    <w:rsid w:val="00FD18D2"/>
    <w:rsid w:val="00FD1AC0"/>
    <w:rsid w:val="00FD1CAC"/>
    <w:rsid w:val="00FD1E8F"/>
    <w:rsid w:val="00FD1FEE"/>
    <w:rsid w:val="00FD2C61"/>
    <w:rsid w:val="00FD2F0A"/>
    <w:rsid w:val="00FD305E"/>
    <w:rsid w:val="00FD31CF"/>
    <w:rsid w:val="00FD328D"/>
    <w:rsid w:val="00FD3593"/>
    <w:rsid w:val="00FD38B0"/>
    <w:rsid w:val="00FD3AEC"/>
    <w:rsid w:val="00FD3C8A"/>
    <w:rsid w:val="00FD4C1E"/>
    <w:rsid w:val="00FD4D17"/>
    <w:rsid w:val="00FD522F"/>
    <w:rsid w:val="00FD55E8"/>
    <w:rsid w:val="00FD56CD"/>
    <w:rsid w:val="00FD5932"/>
    <w:rsid w:val="00FD5A15"/>
    <w:rsid w:val="00FD5ED0"/>
    <w:rsid w:val="00FD60D4"/>
    <w:rsid w:val="00FD60DF"/>
    <w:rsid w:val="00FD61B5"/>
    <w:rsid w:val="00FD62BB"/>
    <w:rsid w:val="00FD643A"/>
    <w:rsid w:val="00FD6B50"/>
    <w:rsid w:val="00FD6D77"/>
    <w:rsid w:val="00FD6F44"/>
    <w:rsid w:val="00FD6FE3"/>
    <w:rsid w:val="00FD7377"/>
    <w:rsid w:val="00FD7766"/>
    <w:rsid w:val="00FD78C4"/>
    <w:rsid w:val="00FD78E8"/>
    <w:rsid w:val="00FD7AD9"/>
    <w:rsid w:val="00FD7B8A"/>
    <w:rsid w:val="00FD7BD1"/>
    <w:rsid w:val="00FD7C86"/>
    <w:rsid w:val="00FD7D44"/>
    <w:rsid w:val="00FE02B5"/>
    <w:rsid w:val="00FE08D1"/>
    <w:rsid w:val="00FE0994"/>
    <w:rsid w:val="00FE09F6"/>
    <w:rsid w:val="00FE0B64"/>
    <w:rsid w:val="00FE0FD7"/>
    <w:rsid w:val="00FE1168"/>
    <w:rsid w:val="00FE1211"/>
    <w:rsid w:val="00FE1446"/>
    <w:rsid w:val="00FE15B7"/>
    <w:rsid w:val="00FE170C"/>
    <w:rsid w:val="00FE1973"/>
    <w:rsid w:val="00FE2220"/>
    <w:rsid w:val="00FE2296"/>
    <w:rsid w:val="00FE2C90"/>
    <w:rsid w:val="00FE2CB8"/>
    <w:rsid w:val="00FE2F33"/>
    <w:rsid w:val="00FE2F4A"/>
    <w:rsid w:val="00FE3195"/>
    <w:rsid w:val="00FE34CB"/>
    <w:rsid w:val="00FE37B3"/>
    <w:rsid w:val="00FE3A22"/>
    <w:rsid w:val="00FE3D26"/>
    <w:rsid w:val="00FE3DC9"/>
    <w:rsid w:val="00FE3DFF"/>
    <w:rsid w:val="00FE44E7"/>
    <w:rsid w:val="00FE4542"/>
    <w:rsid w:val="00FE455D"/>
    <w:rsid w:val="00FE4571"/>
    <w:rsid w:val="00FE49EE"/>
    <w:rsid w:val="00FE4A40"/>
    <w:rsid w:val="00FE4A98"/>
    <w:rsid w:val="00FE4AC0"/>
    <w:rsid w:val="00FE4D4B"/>
    <w:rsid w:val="00FE4F50"/>
    <w:rsid w:val="00FE4FD3"/>
    <w:rsid w:val="00FE5716"/>
    <w:rsid w:val="00FE572D"/>
    <w:rsid w:val="00FE57DB"/>
    <w:rsid w:val="00FE5A5C"/>
    <w:rsid w:val="00FE5E1C"/>
    <w:rsid w:val="00FE613C"/>
    <w:rsid w:val="00FE6247"/>
    <w:rsid w:val="00FE64AA"/>
    <w:rsid w:val="00FE65CC"/>
    <w:rsid w:val="00FE67F9"/>
    <w:rsid w:val="00FE6B47"/>
    <w:rsid w:val="00FE6B83"/>
    <w:rsid w:val="00FE6F52"/>
    <w:rsid w:val="00FE76F6"/>
    <w:rsid w:val="00FE7BC7"/>
    <w:rsid w:val="00FF06EE"/>
    <w:rsid w:val="00FF0A8C"/>
    <w:rsid w:val="00FF12BB"/>
    <w:rsid w:val="00FF133B"/>
    <w:rsid w:val="00FF209E"/>
    <w:rsid w:val="00FF21C5"/>
    <w:rsid w:val="00FF220C"/>
    <w:rsid w:val="00FF222C"/>
    <w:rsid w:val="00FF26A7"/>
    <w:rsid w:val="00FF334A"/>
    <w:rsid w:val="00FF35D4"/>
    <w:rsid w:val="00FF3888"/>
    <w:rsid w:val="00FF38B7"/>
    <w:rsid w:val="00FF4521"/>
    <w:rsid w:val="00FF4A2D"/>
    <w:rsid w:val="00FF4CAA"/>
    <w:rsid w:val="00FF4F1B"/>
    <w:rsid w:val="00FF504E"/>
    <w:rsid w:val="00FF538F"/>
    <w:rsid w:val="00FF5827"/>
    <w:rsid w:val="00FF5D36"/>
    <w:rsid w:val="00FF62BC"/>
    <w:rsid w:val="00FF6466"/>
    <w:rsid w:val="00FF6766"/>
    <w:rsid w:val="00FF67CF"/>
    <w:rsid w:val="00FF6993"/>
    <w:rsid w:val="00FF6A44"/>
    <w:rsid w:val="00FF6BBF"/>
    <w:rsid w:val="00FF6E55"/>
    <w:rsid w:val="00FF7250"/>
    <w:rsid w:val="00FF751D"/>
    <w:rsid w:val="00FF7693"/>
    <w:rsid w:val="00FF7D3E"/>
    <w:rsid w:val="00FF7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2314"/>
  <w15:chartTrackingRefBased/>
  <w15:docId w15:val="{BB088E99-4362-4FD9-95A4-3875D913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8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1"/>
    <w:qFormat/>
    <w:rsid w:val="00C27AAE"/>
    <w:pPr>
      <w:spacing w:before="100" w:beforeAutospacing="1" w:after="100" w:afterAutospacing="1" w:line="360" w:lineRule="auto"/>
      <w:jc w:val="center"/>
      <w:outlineLvl w:val="0"/>
    </w:pPr>
    <w:rPr>
      <w:rFonts w:ascii="Arial" w:eastAsiaTheme="minorHAnsi" w:hAnsi="Arial" w:cs="Arial"/>
      <w:b/>
      <w:sz w:val="28"/>
      <w:szCs w:val="26"/>
      <w:lang w:eastAsia="en-US"/>
    </w:rPr>
  </w:style>
  <w:style w:type="paragraph" w:styleId="Ttulo2">
    <w:name w:val="heading 2"/>
    <w:basedOn w:val="Normal"/>
    <w:next w:val="Normal"/>
    <w:link w:val="Ttulo2Car"/>
    <w:uiPriority w:val="1"/>
    <w:unhideWhenUsed/>
    <w:qFormat/>
    <w:rsid w:val="00C27AAE"/>
    <w:pPr>
      <w:spacing w:before="100" w:beforeAutospacing="1" w:after="100" w:afterAutospacing="1" w:line="360" w:lineRule="auto"/>
      <w:jc w:val="both"/>
      <w:outlineLvl w:val="1"/>
    </w:pPr>
    <w:rPr>
      <w:rFonts w:ascii="Arial Negrita" w:eastAsiaTheme="minorHAnsi" w:hAnsi="Arial Negrita" w:cs="Arial"/>
      <w:b/>
      <w:sz w:val="28"/>
      <w:szCs w:val="26"/>
      <w:lang w:eastAsia="en-US"/>
    </w:rPr>
  </w:style>
  <w:style w:type="paragraph" w:styleId="Ttulo3">
    <w:name w:val="heading 3"/>
    <w:basedOn w:val="Sinespaciado"/>
    <w:next w:val="Normal"/>
    <w:link w:val="Ttulo3Car"/>
    <w:uiPriority w:val="1"/>
    <w:unhideWhenUsed/>
    <w:qFormat/>
    <w:rsid w:val="00C27AAE"/>
    <w:pPr>
      <w:spacing w:before="100" w:beforeAutospacing="1" w:after="100" w:afterAutospacing="1" w:line="360" w:lineRule="auto"/>
      <w:outlineLvl w:val="2"/>
    </w:pPr>
    <w:rPr>
      <w:rFonts w:ascii="Arial Negrita" w:hAnsi="Arial Negrita"/>
      <w:b/>
      <w:sz w:val="28"/>
      <w:szCs w:val="26"/>
    </w:rPr>
  </w:style>
  <w:style w:type="paragraph" w:styleId="Ttulo4">
    <w:name w:val="heading 4"/>
    <w:basedOn w:val="Normal"/>
    <w:next w:val="Normal"/>
    <w:link w:val="Ttulo4Car"/>
    <w:uiPriority w:val="9"/>
    <w:unhideWhenUsed/>
    <w:qFormat/>
    <w:rsid w:val="00C27AAE"/>
    <w:pPr>
      <w:keepNext/>
      <w:keepLines/>
      <w:spacing w:before="100" w:beforeAutospacing="1" w:after="100" w:afterAutospacing="1" w:line="360" w:lineRule="auto"/>
      <w:jc w:val="both"/>
      <w:outlineLvl w:val="3"/>
    </w:pPr>
    <w:rPr>
      <w:rFonts w:ascii="Arial" w:eastAsiaTheme="majorEastAsia" w:hAnsi="Arial" w:cstheme="majorBidi"/>
      <w:b/>
      <w:iCs/>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27AAE"/>
    <w:rPr>
      <w:rFonts w:ascii="Arial" w:hAnsi="Arial" w:cs="Arial"/>
      <w:b/>
      <w:sz w:val="28"/>
      <w:szCs w:val="26"/>
    </w:rPr>
  </w:style>
  <w:style w:type="character" w:customStyle="1" w:styleId="Ttulo2Car">
    <w:name w:val="Título 2 Car"/>
    <w:basedOn w:val="Fuentedeprrafopredeter"/>
    <w:link w:val="Ttulo2"/>
    <w:uiPriority w:val="1"/>
    <w:rsid w:val="00C27AAE"/>
    <w:rPr>
      <w:rFonts w:ascii="Arial Negrita" w:hAnsi="Arial Negrita" w:cs="Arial"/>
      <w:b/>
      <w:sz w:val="28"/>
      <w:szCs w:val="26"/>
    </w:rPr>
  </w:style>
  <w:style w:type="character" w:customStyle="1" w:styleId="Ttulo3Car">
    <w:name w:val="Título 3 Car"/>
    <w:basedOn w:val="Fuentedeprrafopredeter"/>
    <w:link w:val="Ttulo3"/>
    <w:uiPriority w:val="9"/>
    <w:rsid w:val="00C27AAE"/>
    <w:rPr>
      <w:rFonts w:ascii="Arial Negrita" w:hAnsi="Arial Negrita" w:cs="Arial"/>
      <w:b/>
      <w:sz w:val="28"/>
      <w:szCs w:val="26"/>
    </w:rPr>
  </w:style>
  <w:style w:type="character" w:customStyle="1" w:styleId="Ttulo4Car">
    <w:name w:val="Título 4 Car"/>
    <w:basedOn w:val="Fuentedeprrafopredeter"/>
    <w:link w:val="Ttulo4"/>
    <w:uiPriority w:val="9"/>
    <w:rsid w:val="00C27AAE"/>
    <w:rPr>
      <w:rFonts w:ascii="Arial" w:eastAsiaTheme="majorEastAsia" w:hAnsi="Arial" w:cstheme="majorBidi"/>
      <w:b/>
      <w:iCs/>
      <w:sz w:val="28"/>
      <w:szCs w:val="24"/>
    </w:rPr>
  </w:style>
  <w:style w:type="paragraph" w:styleId="Sinespaciado">
    <w:name w:val="No Spacing"/>
    <w:basedOn w:val="Normal"/>
    <w:uiPriority w:val="1"/>
    <w:qFormat/>
    <w:rsid w:val="00C27AAE"/>
    <w:pPr>
      <w:spacing w:line="276" w:lineRule="auto"/>
      <w:jc w:val="both"/>
    </w:pPr>
    <w:rPr>
      <w:rFonts w:ascii="Arial" w:eastAsiaTheme="minorHAnsi" w:hAnsi="Arial" w:cs="Arial"/>
      <w:sz w:val="16"/>
      <w:szCs w:val="16"/>
      <w:lang w:eastAsia="en-US"/>
    </w:rPr>
  </w:style>
  <w:style w:type="paragraph" w:customStyle="1" w:styleId="Prrafo">
    <w:name w:val="Párrafo"/>
    <w:basedOn w:val="Normal"/>
    <w:qFormat/>
    <w:rsid w:val="00C27AAE"/>
    <w:pPr>
      <w:spacing w:before="240" w:after="240" w:line="360" w:lineRule="auto"/>
      <w:jc w:val="both"/>
    </w:pPr>
    <w:rPr>
      <w:rFonts w:ascii="Arial" w:eastAsiaTheme="minorHAnsi" w:hAnsi="Arial" w:cs="Arial"/>
      <w:sz w:val="26"/>
      <w:szCs w:val="26"/>
      <w:lang w:eastAsia="en-US"/>
    </w:rPr>
  </w:style>
  <w:style w:type="paragraph" w:styleId="Piedepgina">
    <w:name w:val="footer"/>
    <w:aliases w:val="Car Car Car Car, Car Car Car Car"/>
    <w:basedOn w:val="Normal"/>
    <w:link w:val="PiedepginaCar"/>
    <w:uiPriority w:val="99"/>
    <w:unhideWhenUsed/>
    <w:rsid w:val="00C27AAE"/>
    <w:pPr>
      <w:tabs>
        <w:tab w:val="center" w:pos="4419"/>
        <w:tab w:val="right" w:pos="8838"/>
      </w:tabs>
      <w:jc w:val="both"/>
    </w:pPr>
    <w:rPr>
      <w:rFonts w:ascii="Arial" w:eastAsiaTheme="minorHAnsi" w:hAnsi="Arial" w:cs="Arial"/>
      <w:lang w:eastAsia="en-US"/>
    </w:rPr>
  </w:style>
  <w:style w:type="character" w:customStyle="1" w:styleId="PiedepginaCar">
    <w:name w:val="Pie de página Car"/>
    <w:aliases w:val="Car Car Car Car Car, Car Car Car Car Car"/>
    <w:basedOn w:val="Fuentedeprrafopredeter"/>
    <w:link w:val="Piedepgina"/>
    <w:uiPriority w:val="99"/>
    <w:rsid w:val="00C27AAE"/>
    <w:rPr>
      <w:rFonts w:ascii="Arial" w:hAnsi="Arial" w:cs="Arial"/>
      <w:sz w:val="24"/>
      <w:szCs w:val="24"/>
    </w:rPr>
  </w:style>
  <w:style w:type="table" w:styleId="Tablaconcuadrcula">
    <w:name w:val="Table Grid"/>
    <w:basedOn w:val="Tablanormal"/>
    <w:uiPriority w:val="39"/>
    <w:rsid w:val="00C27AA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 Paragraph1,Colorful List - Accent 11,Cuadrícula clara - Énfasis 31,Párrafo de lista1,TEXTO GENERAL SENTENCIAS,Lista multicolor - Énfasis 11,Párrafo de lista2,Lista vistosa - Énfasis 11,CNBV Parraf"/>
    <w:basedOn w:val="Normal"/>
    <w:link w:val="PrrafodelistaCar"/>
    <w:qFormat/>
    <w:rsid w:val="00C27AAE"/>
    <w:pPr>
      <w:spacing w:before="60" w:after="60" w:line="276" w:lineRule="auto"/>
      <w:ind w:left="720"/>
      <w:contextualSpacing/>
      <w:jc w:val="both"/>
    </w:pPr>
    <w:rPr>
      <w:rFonts w:ascii="Arial" w:eastAsiaTheme="minorHAnsi" w:hAnsi="Arial" w:cs="Arial"/>
      <w:lang w:eastAsia="en-US"/>
    </w:rPr>
  </w:style>
  <w:style w:type="paragraph" w:styleId="Encabezado">
    <w:name w:val="header"/>
    <w:aliases w:val="Car1 Car Car Car,Car4,Encabezado Car Car,Car7,Car71"/>
    <w:basedOn w:val="Normal"/>
    <w:link w:val="EncabezadoCar"/>
    <w:uiPriority w:val="99"/>
    <w:unhideWhenUsed/>
    <w:rsid w:val="00C27AAE"/>
    <w:pPr>
      <w:tabs>
        <w:tab w:val="center" w:pos="4419"/>
        <w:tab w:val="right" w:pos="8838"/>
      </w:tabs>
      <w:jc w:val="both"/>
    </w:pPr>
    <w:rPr>
      <w:rFonts w:ascii="Arial" w:eastAsiaTheme="minorHAnsi" w:hAnsi="Arial" w:cs="Arial"/>
      <w:lang w:eastAsia="en-US"/>
    </w:rPr>
  </w:style>
  <w:style w:type="character" w:customStyle="1" w:styleId="EncabezadoCar">
    <w:name w:val="Encabezado Car"/>
    <w:aliases w:val="Car1 Car Car Car Car,Car4 Car,Encabezado Car Car Car,Car7 Car,Car71 Car"/>
    <w:basedOn w:val="Fuentedeprrafopredeter"/>
    <w:link w:val="Encabezado"/>
    <w:uiPriority w:val="99"/>
    <w:rsid w:val="00C27AAE"/>
    <w:rPr>
      <w:rFonts w:ascii="Arial" w:hAnsi="Arial" w:cs="Arial"/>
      <w:sz w:val="24"/>
      <w:szCs w:val="24"/>
    </w:rPr>
  </w:style>
  <w:style w:type="character" w:styleId="Textodelmarcadordeposicin">
    <w:name w:val="Placeholder Text"/>
    <w:basedOn w:val="Fuentedeprrafopredeter"/>
    <w:uiPriority w:val="99"/>
    <w:semiHidden/>
    <w:rsid w:val="00C27AAE"/>
    <w:rPr>
      <w:color w:val="808080"/>
    </w:rPr>
  </w:style>
  <w:style w:type="paragraph" w:styleId="Textoindependiente">
    <w:name w:val="Body Text"/>
    <w:basedOn w:val="Normal"/>
    <w:link w:val="TextoindependienteCar"/>
    <w:uiPriority w:val="1"/>
    <w:qFormat/>
    <w:rsid w:val="00C27AAE"/>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C27AAE"/>
    <w:rPr>
      <w:rFonts w:ascii="Arial" w:eastAsia="Arial" w:hAnsi="Arial"/>
      <w:sz w:val="26"/>
      <w:szCs w:val="26"/>
      <w:lang w:val="en-US"/>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C27AAE"/>
    <w:pPr>
      <w:jc w:val="both"/>
    </w:pPr>
    <w:rPr>
      <w:rFonts w:ascii="Arial" w:eastAsiaTheme="minorHAnsi" w:hAnsi="Arial" w:cs="Arial"/>
      <w:sz w:val="20"/>
      <w:szCs w:val="20"/>
      <w:lang w:eastAsia="en-US"/>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C27AAE"/>
    <w:rPr>
      <w:rFonts w:ascii="Arial" w:hAnsi="Arial" w:cs="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iPriority w:val="99"/>
    <w:unhideWhenUsed/>
    <w:qFormat/>
    <w:rsid w:val="00C27AA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27AAE"/>
    <w:pPr>
      <w:jc w:val="both"/>
    </w:pPr>
    <w:rPr>
      <w:rFonts w:asciiTheme="minorHAnsi" w:eastAsiaTheme="minorHAnsi" w:hAnsiTheme="minorHAnsi" w:cstheme="minorBidi"/>
      <w:sz w:val="22"/>
      <w:szCs w:val="22"/>
      <w:vertAlign w:val="superscript"/>
      <w:lang w:eastAsia="en-US"/>
    </w:rPr>
  </w:style>
  <w:style w:type="character" w:customStyle="1" w:styleId="PrrafodelistaCar">
    <w:name w:val="Párrafo de lista Car"/>
    <w:aliases w:val="Cita texto Car,Footnote Car,List Paragraph1 Car,Colorful List - Accent 11 Car,Cuadrícula clara - Énfasis 31 Car,Párrafo de lista1 Car,TEXTO GENERAL SENTENCIAS Car,Lista multicolor - Énfasis 11 Car,Párrafo de lista2 Car"/>
    <w:link w:val="Prrafodelista"/>
    <w:uiPriority w:val="34"/>
    <w:qFormat/>
    <w:locked/>
    <w:rsid w:val="00C27AAE"/>
    <w:rPr>
      <w:rFonts w:ascii="Arial" w:hAnsi="Arial" w:cs="Arial"/>
      <w:sz w:val="24"/>
      <w:szCs w:val="24"/>
    </w:rPr>
  </w:style>
  <w:style w:type="paragraph" w:customStyle="1" w:styleId="corte4fondo">
    <w:name w:val="corte4 fondo"/>
    <w:basedOn w:val="Normal"/>
    <w:link w:val="corte4fondoCar"/>
    <w:qFormat/>
    <w:rsid w:val="00C27AAE"/>
    <w:pPr>
      <w:spacing w:line="360" w:lineRule="auto"/>
      <w:ind w:firstLine="709"/>
      <w:jc w:val="both"/>
    </w:pPr>
    <w:rPr>
      <w:rFonts w:ascii="Arial" w:hAnsi="Arial"/>
      <w:sz w:val="30"/>
      <w:lang w:val="es-ES_tradnl" w:eastAsia="es-ES"/>
    </w:rPr>
  </w:style>
  <w:style w:type="character" w:customStyle="1" w:styleId="corte4fondoCar">
    <w:name w:val="corte4 fondo Car"/>
    <w:link w:val="corte4fondo"/>
    <w:rsid w:val="00C27AAE"/>
    <w:rPr>
      <w:rFonts w:ascii="Arial" w:eastAsia="Times New Roman" w:hAnsi="Arial" w:cs="Times New Roman"/>
      <w:sz w:val="30"/>
      <w:szCs w:val="24"/>
      <w:lang w:val="es-ES_tradnl" w:eastAsia="es-ES"/>
    </w:rPr>
  </w:style>
  <w:style w:type="character" w:customStyle="1" w:styleId="corte4fondoCar1">
    <w:name w:val="corte4 fondo Car1"/>
    <w:locked/>
    <w:rsid w:val="00C27AAE"/>
    <w:rPr>
      <w:rFonts w:ascii="Arial" w:hAnsi="Arial" w:cs="Arial"/>
      <w:sz w:val="30"/>
    </w:rPr>
  </w:style>
  <w:style w:type="character" w:styleId="Nmerodepgina">
    <w:name w:val="page number"/>
    <w:basedOn w:val="Fuentedeprrafopredeter"/>
    <w:uiPriority w:val="99"/>
    <w:unhideWhenUsed/>
    <w:rsid w:val="00C27AAE"/>
  </w:style>
  <w:style w:type="paragraph" w:customStyle="1" w:styleId="Cuadrculamediana1-nfasis21">
    <w:name w:val="Cuadrícula mediana 1 - Énfasis 21"/>
    <w:basedOn w:val="Normal"/>
    <w:uiPriority w:val="34"/>
    <w:qFormat/>
    <w:rsid w:val="00C27AAE"/>
    <w:pPr>
      <w:spacing w:line="360" w:lineRule="auto"/>
      <w:ind w:left="708"/>
      <w:jc w:val="both"/>
    </w:pPr>
    <w:rPr>
      <w:rFonts w:ascii="Arial" w:eastAsia="Calibri" w:hAnsi="Arial"/>
      <w:sz w:val="30"/>
      <w:szCs w:val="22"/>
      <w:lang w:eastAsia="en-US"/>
    </w:rPr>
  </w:style>
  <w:style w:type="paragraph" w:customStyle="1" w:styleId="Estilo">
    <w:name w:val="Estilo"/>
    <w:basedOn w:val="Sinespaciado"/>
    <w:link w:val="EstiloCar"/>
    <w:qFormat/>
    <w:rsid w:val="00C27AAE"/>
    <w:pPr>
      <w:spacing w:line="240" w:lineRule="auto"/>
    </w:pPr>
    <w:rPr>
      <w:rFonts w:eastAsia="Calibri" w:cs="Times New Roman"/>
      <w:sz w:val="24"/>
      <w:szCs w:val="22"/>
    </w:rPr>
  </w:style>
  <w:style w:type="character" w:customStyle="1" w:styleId="EstiloCar">
    <w:name w:val="Estilo Car"/>
    <w:link w:val="Estilo"/>
    <w:rsid w:val="00C27AAE"/>
    <w:rPr>
      <w:rFonts w:ascii="Arial" w:eastAsia="Calibri" w:hAnsi="Arial" w:cs="Times New Roman"/>
      <w:sz w:val="24"/>
    </w:rPr>
  </w:style>
  <w:style w:type="character" w:customStyle="1" w:styleId="corte4fondoCarCar">
    <w:name w:val="corte4 fondo Car Car"/>
    <w:rsid w:val="00C27AAE"/>
    <w:rPr>
      <w:rFonts w:ascii="Arial" w:eastAsia="Times New Roman" w:hAnsi="Arial" w:cs="Arial" w:hint="default"/>
      <w:sz w:val="30"/>
      <w:lang w:val="es-ES_tradnl" w:eastAsia="en-US"/>
    </w:rPr>
  </w:style>
  <w:style w:type="character" w:customStyle="1" w:styleId="corte4fondoCarCar1">
    <w:name w:val="corte4 fondo Car Car1"/>
    <w:locked/>
    <w:rsid w:val="00C27AAE"/>
    <w:rPr>
      <w:rFonts w:ascii="Arial" w:hAnsi="Arial"/>
      <w:sz w:val="30"/>
      <w:szCs w:val="24"/>
      <w:lang w:val="es-ES_tradnl"/>
    </w:rPr>
  </w:style>
  <w:style w:type="character" w:customStyle="1" w:styleId="TEXTONORMALCar">
    <w:name w:val="TEXTO NORMAL Car"/>
    <w:link w:val="TEXTONORMAL"/>
    <w:locked/>
    <w:rsid w:val="00C27AAE"/>
    <w:rPr>
      <w:rFonts w:ascii="Arial" w:hAnsi="Arial" w:cs="Arial"/>
      <w:sz w:val="28"/>
      <w:szCs w:val="28"/>
      <w:lang w:eastAsia="es-ES"/>
    </w:rPr>
  </w:style>
  <w:style w:type="paragraph" w:customStyle="1" w:styleId="TEXTONORMAL">
    <w:name w:val="TEXTO NORMAL"/>
    <w:basedOn w:val="Normal"/>
    <w:link w:val="TEXTONORMALCar"/>
    <w:rsid w:val="00C27AAE"/>
    <w:pPr>
      <w:spacing w:line="360" w:lineRule="auto"/>
      <w:ind w:firstLine="709"/>
      <w:jc w:val="both"/>
    </w:pPr>
    <w:rPr>
      <w:rFonts w:ascii="Arial" w:eastAsiaTheme="minorHAnsi" w:hAnsi="Arial" w:cs="Arial"/>
      <w:sz w:val="28"/>
      <w:szCs w:val="28"/>
      <w:lang w:eastAsia="es-ES"/>
    </w:rPr>
  </w:style>
  <w:style w:type="character" w:styleId="Hipervnculo">
    <w:name w:val="Hyperlink"/>
    <w:basedOn w:val="Fuentedeprrafopredeter"/>
    <w:uiPriority w:val="99"/>
    <w:unhideWhenUsed/>
    <w:rsid w:val="00C27AAE"/>
    <w:rPr>
      <w:color w:val="0000FF"/>
      <w:u w:val="single"/>
    </w:rPr>
  </w:style>
  <w:style w:type="character" w:styleId="Hipervnculovisitado">
    <w:name w:val="FollowedHyperlink"/>
    <w:basedOn w:val="Fuentedeprrafopredeter"/>
    <w:uiPriority w:val="99"/>
    <w:semiHidden/>
    <w:unhideWhenUsed/>
    <w:rsid w:val="00C27AAE"/>
    <w:rPr>
      <w:color w:val="954F72" w:themeColor="followedHyperlink"/>
      <w:u w:val="single"/>
    </w:rPr>
  </w:style>
  <w:style w:type="table" w:customStyle="1" w:styleId="Calendario2">
    <w:name w:val="Calendario 2"/>
    <w:basedOn w:val="Tablanormal"/>
    <w:uiPriority w:val="99"/>
    <w:qFormat/>
    <w:rsid w:val="00C27AAE"/>
    <w:pPr>
      <w:spacing w:after="0" w:line="240" w:lineRule="auto"/>
      <w:jc w:val="center"/>
    </w:pPr>
    <w:rPr>
      <w:rFonts w:eastAsiaTheme="minorEastAsia"/>
      <w:sz w:val="28"/>
      <w:szCs w:val="28"/>
      <w:lang w:eastAsia="es-MX"/>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io3">
    <w:name w:val="Calendario 3"/>
    <w:basedOn w:val="Tablanormal"/>
    <w:uiPriority w:val="99"/>
    <w:qFormat/>
    <w:rsid w:val="00C27AAE"/>
    <w:pPr>
      <w:spacing w:after="0" w:line="240" w:lineRule="auto"/>
      <w:jc w:val="right"/>
    </w:pPr>
    <w:rPr>
      <w:rFonts w:asciiTheme="majorHAnsi" w:eastAsiaTheme="majorEastAsia" w:hAnsiTheme="majorHAnsi" w:cstheme="majorBidi"/>
      <w:color w:val="000000" w:themeColor="text1"/>
      <w:lang w:eastAsia="es-MX"/>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customStyle="1" w:styleId="Calendario1">
    <w:name w:val="Calendario 1"/>
    <w:basedOn w:val="Tablanormal"/>
    <w:uiPriority w:val="99"/>
    <w:qFormat/>
    <w:rsid w:val="00C27AAE"/>
    <w:pPr>
      <w:spacing w:after="0" w:line="240" w:lineRule="auto"/>
    </w:pPr>
    <w:rPr>
      <w:rFonts w:eastAsiaTheme="minorEastAsia"/>
      <w:lang w:eastAsia="es-MX"/>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Sangradetextonormal">
    <w:name w:val="Body Text Indent"/>
    <w:basedOn w:val="Normal"/>
    <w:link w:val="SangradetextonormalCar"/>
    <w:uiPriority w:val="99"/>
    <w:semiHidden/>
    <w:unhideWhenUsed/>
    <w:rsid w:val="00C27AAE"/>
    <w:pPr>
      <w:spacing w:before="60" w:after="120" w:line="276" w:lineRule="auto"/>
      <w:ind w:left="283"/>
      <w:jc w:val="both"/>
    </w:pPr>
    <w:rPr>
      <w:rFonts w:ascii="Arial" w:eastAsiaTheme="minorHAnsi" w:hAnsi="Arial" w:cs="Arial"/>
      <w:lang w:eastAsia="en-US"/>
    </w:rPr>
  </w:style>
  <w:style w:type="character" w:customStyle="1" w:styleId="SangradetextonormalCar">
    <w:name w:val="Sangría de texto normal Car"/>
    <w:basedOn w:val="Fuentedeprrafopredeter"/>
    <w:link w:val="Sangradetextonormal"/>
    <w:uiPriority w:val="99"/>
    <w:semiHidden/>
    <w:rsid w:val="00C27AAE"/>
    <w:rPr>
      <w:rFonts w:ascii="Arial" w:hAnsi="Arial" w:cs="Arial"/>
      <w:sz w:val="24"/>
      <w:szCs w:val="24"/>
    </w:rPr>
  </w:style>
  <w:style w:type="character" w:styleId="Refdecomentario">
    <w:name w:val="annotation reference"/>
    <w:basedOn w:val="Fuentedeprrafopredeter"/>
    <w:uiPriority w:val="99"/>
    <w:semiHidden/>
    <w:unhideWhenUsed/>
    <w:rsid w:val="00C27AAE"/>
    <w:rPr>
      <w:sz w:val="16"/>
      <w:szCs w:val="16"/>
    </w:rPr>
  </w:style>
  <w:style w:type="paragraph" w:customStyle="1" w:styleId="Default">
    <w:name w:val="Default"/>
    <w:rsid w:val="00C27AAE"/>
    <w:pPr>
      <w:autoSpaceDE w:val="0"/>
      <w:autoSpaceDN w:val="0"/>
      <w:adjustRightInd w:val="0"/>
      <w:spacing w:after="0" w:line="240" w:lineRule="auto"/>
    </w:pPr>
    <w:rPr>
      <w:rFonts w:ascii="Arial" w:hAnsi="Arial" w:cs="Arial"/>
      <w:color w:val="000000"/>
      <w:sz w:val="24"/>
      <w:szCs w:val="24"/>
    </w:rPr>
  </w:style>
  <w:style w:type="character" w:customStyle="1" w:styleId="b1">
    <w:name w:val="b1"/>
    <w:rsid w:val="00C27AAE"/>
    <w:rPr>
      <w:color w:val="000000"/>
    </w:rPr>
  </w:style>
  <w:style w:type="paragraph" w:styleId="Textosinformato">
    <w:name w:val="Plain Text"/>
    <w:basedOn w:val="Normal"/>
    <w:link w:val="TextosinformatoCar"/>
    <w:semiHidden/>
    <w:unhideWhenUsed/>
    <w:rsid w:val="00C27AAE"/>
    <w:rPr>
      <w:rFonts w:ascii="Courier New" w:hAnsi="Courier New"/>
      <w:sz w:val="20"/>
      <w:szCs w:val="20"/>
      <w:lang w:val="x-none" w:eastAsia="es-ES"/>
    </w:rPr>
  </w:style>
  <w:style w:type="character" w:customStyle="1" w:styleId="TextosinformatoCar">
    <w:name w:val="Texto sin formato Car"/>
    <w:basedOn w:val="Fuentedeprrafopredeter"/>
    <w:link w:val="Textosinformato"/>
    <w:semiHidden/>
    <w:rsid w:val="00C27AAE"/>
    <w:rPr>
      <w:rFonts w:ascii="Courier New" w:eastAsia="Times New Roman" w:hAnsi="Courier New" w:cs="Times New Roman"/>
      <w:sz w:val="20"/>
      <w:szCs w:val="20"/>
      <w:lang w:val="x-none" w:eastAsia="es-ES"/>
    </w:rPr>
  </w:style>
  <w:style w:type="paragraph" w:customStyle="1" w:styleId="Texto">
    <w:name w:val="Texto"/>
    <w:basedOn w:val="Normal"/>
    <w:rsid w:val="00C27AAE"/>
    <w:pPr>
      <w:spacing w:after="101" w:line="216" w:lineRule="exact"/>
      <w:ind w:firstLine="288"/>
      <w:jc w:val="both"/>
    </w:pPr>
    <w:rPr>
      <w:rFonts w:ascii="Arial" w:hAnsi="Arial" w:cs="Arial"/>
      <w:sz w:val="18"/>
      <w:szCs w:val="18"/>
      <w:lang w:eastAsia="es-ES"/>
    </w:rPr>
  </w:style>
  <w:style w:type="character" w:customStyle="1" w:styleId="ng-star-inserted">
    <w:name w:val="ng-star-inserted"/>
    <w:basedOn w:val="Fuentedeprrafopredeter"/>
    <w:rsid w:val="00C27AAE"/>
  </w:style>
  <w:style w:type="character" w:customStyle="1" w:styleId="bold">
    <w:name w:val="bold"/>
    <w:basedOn w:val="Fuentedeprrafopredeter"/>
    <w:rsid w:val="00C27AAE"/>
  </w:style>
  <w:style w:type="paragraph" w:customStyle="1" w:styleId="msonormal0">
    <w:name w:val="msonormal"/>
    <w:basedOn w:val="Normal"/>
    <w:rsid w:val="00C27AAE"/>
    <w:pPr>
      <w:spacing w:before="100" w:beforeAutospacing="1" w:after="100" w:afterAutospacing="1"/>
    </w:pPr>
  </w:style>
  <w:style w:type="character" w:customStyle="1" w:styleId="TextonotapieCar1">
    <w:name w:val="Texto nota pie Car1"/>
    <w:aliases w:val="Footnote reference Car1,FA Fu Car1,Footnote Text Char Char Char Char Char Car1,Footnote Text Char Char Char Char Car Car1,Footnote Text Char Char Char Char Car2,Footnote Text Char Char Char Car1,Footnote Text Cha Car1,Car Car"/>
    <w:basedOn w:val="Fuentedeprrafopredeter"/>
    <w:uiPriority w:val="99"/>
    <w:rsid w:val="00C27AAE"/>
    <w:rPr>
      <w:rFonts w:ascii="Arial" w:hAnsi="Arial" w:cs="Arial"/>
      <w:sz w:val="20"/>
      <w:szCs w:val="20"/>
    </w:rPr>
  </w:style>
  <w:style w:type="character" w:customStyle="1" w:styleId="EncabezadoCar1">
    <w:name w:val="Encabezado Car1"/>
    <w:aliases w:val="Car1 Car Car Car Car1,Car4 Car1,Encabezado Car Car Car1,Car7 Car1,Car71 Car1"/>
    <w:basedOn w:val="Fuentedeprrafopredeter"/>
    <w:uiPriority w:val="99"/>
    <w:semiHidden/>
    <w:rsid w:val="00C27AAE"/>
    <w:rPr>
      <w:rFonts w:ascii="Arial" w:hAnsi="Arial" w:cs="Arial"/>
      <w:sz w:val="24"/>
      <w:szCs w:val="24"/>
    </w:rPr>
  </w:style>
  <w:style w:type="character" w:customStyle="1" w:styleId="PiedepginaCar1">
    <w:name w:val="Pie de página Car1"/>
    <w:aliases w:val="Car Car Car Car Car1"/>
    <w:basedOn w:val="Fuentedeprrafopredeter"/>
    <w:uiPriority w:val="99"/>
    <w:semiHidden/>
    <w:rsid w:val="00C27AAE"/>
    <w:rPr>
      <w:rFonts w:ascii="Arial" w:hAnsi="Arial" w:cs="Arial"/>
      <w:sz w:val="24"/>
      <w:szCs w:val="24"/>
    </w:rPr>
  </w:style>
  <w:style w:type="paragraph" w:customStyle="1" w:styleId="texto0">
    <w:name w:val="texto"/>
    <w:basedOn w:val="Normal"/>
    <w:rsid w:val="00C27AAE"/>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59"/>
    <w:rsid w:val="00C27AAE"/>
    <w:pPr>
      <w:spacing w:after="0" w:line="240" w:lineRule="auto"/>
    </w:pPr>
    <w:rPr>
      <w:rFonts w:ascii="Times New Roman" w:eastAsia="Times New Roman"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C27AAE"/>
  </w:style>
  <w:style w:type="character" w:customStyle="1" w:styleId="highlight">
    <w:name w:val="highlight"/>
    <w:basedOn w:val="Fuentedeprrafopredeter"/>
    <w:rsid w:val="00C27AAE"/>
  </w:style>
  <w:style w:type="character" w:styleId="Textoennegrita">
    <w:name w:val="Strong"/>
    <w:basedOn w:val="Fuentedeprrafopredeter"/>
    <w:uiPriority w:val="22"/>
    <w:qFormat/>
    <w:rsid w:val="00C27AAE"/>
    <w:rPr>
      <w:b/>
      <w:bCs/>
    </w:rPr>
  </w:style>
  <w:style w:type="character" w:customStyle="1" w:styleId="lbl-encabezado-negro">
    <w:name w:val="lbl-encabezado-negro"/>
    <w:basedOn w:val="Fuentedeprrafopredeter"/>
    <w:rsid w:val="00C27AAE"/>
  </w:style>
  <w:style w:type="character" w:customStyle="1" w:styleId="red">
    <w:name w:val="red"/>
    <w:basedOn w:val="Fuentedeprrafopredeter"/>
    <w:rsid w:val="00C27AAE"/>
  </w:style>
  <w:style w:type="paragraph" w:customStyle="1" w:styleId="Piedepagina">
    <w:name w:val="Pie de pagina"/>
    <w:basedOn w:val="Normal"/>
    <w:uiPriority w:val="99"/>
    <w:rsid w:val="00C27AAE"/>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corte4fondoCarCar2">
    <w:name w:val="corte4 fondo Car Car2"/>
    <w:rsid w:val="00C27AAE"/>
    <w:rPr>
      <w:rFonts w:ascii="Arial" w:hAnsi="Arial"/>
      <w:sz w:val="30"/>
      <w:szCs w:val="30"/>
      <w:lang w:val="es-ES" w:eastAsia="es-ES"/>
    </w:rPr>
  </w:style>
  <w:style w:type="paragraph" w:styleId="NormalWeb">
    <w:name w:val="Normal (Web)"/>
    <w:basedOn w:val="Normal"/>
    <w:uiPriority w:val="99"/>
    <w:semiHidden/>
    <w:unhideWhenUsed/>
    <w:rsid w:val="00C27AAE"/>
    <w:pPr>
      <w:spacing w:before="100" w:beforeAutospacing="1" w:after="100" w:afterAutospacing="1"/>
    </w:pPr>
  </w:style>
  <w:style w:type="paragraph" w:customStyle="1" w:styleId="corte5transcripcion">
    <w:name w:val="corte5 transcripcion"/>
    <w:basedOn w:val="Normal"/>
    <w:link w:val="corte5transcripcionCar"/>
    <w:qFormat/>
    <w:rsid w:val="00C27AAE"/>
    <w:pPr>
      <w:spacing w:line="360" w:lineRule="auto"/>
      <w:ind w:left="709" w:right="709"/>
      <w:jc w:val="both"/>
    </w:pPr>
    <w:rPr>
      <w:rFonts w:ascii="Arial" w:hAnsi="Arial"/>
      <w:b/>
      <w:i/>
      <w:sz w:val="30"/>
      <w:szCs w:val="20"/>
      <w:lang w:val="es-ES_tradnl"/>
    </w:rPr>
  </w:style>
  <w:style w:type="character" w:customStyle="1" w:styleId="corte5transcripcionCar">
    <w:name w:val="corte5 transcripcion Car"/>
    <w:link w:val="corte5transcripcion"/>
    <w:rsid w:val="00C27AAE"/>
    <w:rPr>
      <w:rFonts w:ascii="Arial" w:eastAsia="Times New Roman" w:hAnsi="Arial" w:cs="Times New Roman"/>
      <w:b/>
      <w:i/>
      <w:sz w:val="30"/>
      <w:szCs w:val="20"/>
      <w:lang w:val="es-ES_tradnl" w:eastAsia="es-MX"/>
    </w:rPr>
  </w:style>
  <w:style w:type="paragraph" w:customStyle="1" w:styleId="corte1datos">
    <w:name w:val="corte1 datos"/>
    <w:basedOn w:val="Normal"/>
    <w:link w:val="corte1datosCar"/>
    <w:qFormat/>
    <w:rsid w:val="00C27AAE"/>
    <w:pPr>
      <w:ind w:left="2552"/>
      <w:jc w:val="both"/>
    </w:pPr>
    <w:rPr>
      <w:rFonts w:ascii="Arial" w:hAnsi="Arial"/>
      <w:b/>
      <w:caps/>
      <w:sz w:val="30"/>
      <w:szCs w:val="20"/>
      <w:lang w:eastAsia="es-ES"/>
    </w:rPr>
  </w:style>
  <w:style w:type="character" w:customStyle="1" w:styleId="corte1datosCar">
    <w:name w:val="corte1 datos Car"/>
    <w:link w:val="corte1datos"/>
    <w:rsid w:val="00C27AAE"/>
    <w:rPr>
      <w:rFonts w:ascii="Arial" w:eastAsia="Times New Roman" w:hAnsi="Arial" w:cs="Times New Roman"/>
      <w:b/>
      <w:caps/>
      <w:sz w:val="30"/>
      <w:szCs w:val="20"/>
      <w:lang w:eastAsia="es-ES"/>
    </w:rPr>
  </w:style>
  <w:style w:type="character" w:styleId="Mencinsinresolver">
    <w:name w:val="Unresolved Mention"/>
    <w:basedOn w:val="Fuentedeprrafopredeter"/>
    <w:uiPriority w:val="99"/>
    <w:semiHidden/>
    <w:unhideWhenUsed/>
    <w:rsid w:val="00387DC0"/>
    <w:rPr>
      <w:color w:val="605E5C"/>
      <w:shd w:val="clear" w:color="auto" w:fill="E1DFDD"/>
    </w:rPr>
  </w:style>
  <w:style w:type="paragraph" w:customStyle="1" w:styleId="Estilo1">
    <w:name w:val="Estilo1"/>
    <w:basedOn w:val="corte4fondo"/>
    <w:qFormat/>
    <w:rsid w:val="00591EB1"/>
    <w:pPr>
      <w:numPr>
        <w:numId w:val="4"/>
      </w:numPr>
      <w:spacing w:before="240" w:after="240"/>
    </w:pPr>
    <w:rPr>
      <w:rFonts w:cs="Arial"/>
      <w:sz w:val="28"/>
      <w:szCs w:val="28"/>
      <w:lang w:val="es-MX"/>
    </w:rPr>
  </w:style>
  <w:style w:type="paragraph" w:styleId="Textoindependienteprimerasangra2">
    <w:name w:val="Body Text First Indent 2"/>
    <w:basedOn w:val="Sangradetextonormal"/>
    <w:link w:val="Textoindependienteprimerasangra2Car"/>
    <w:uiPriority w:val="99"/>
    <w:semiHidden/>
    <w:unhideWhenUsed/>
    <w:rsid w:val="00CD1DFF"/>
    <w:pPr>
      <w:spacing w:before="0" w:after="160" w:line="256" w:lineRule="auto"/>
      <w:ind w:left="360" w:firstLine="360"/>
      <w:jc w:val="left"/>
    </w:pPr>
    <w:rPr>
      <w:rFonts w:ascii="Calibri" w:eastAsia="Calibri" w:hAnsi="Calibri" w:cs="Times New Roman"/>
      <w:sz w:val="22"/>
      <w:szCs w:val="22"/>
    </w:rPr>
  </w:style>
  <w:style w:type="character" w:customStyle="1" w:styleId="Textoindependienteprimerasangra2Car">
    <w:name w:val="Texto independiente primera sangría 2 Car"/>
    <w:basedOn w:val="SangradetextonormalCar"/>
    <w:link w:val="Textoindependienteprimerasangra2"/>
    <w:uiPriority w:val="99"/>
    <w:semiHidden/>
    <w:rsid w:val="00CD1DFF"/>
    <w:rPr>
      <w:rFonts w:ascii="Calibri" w:eastAsia="Calibri" w:hAnsi="Calibri" w:cs="Times New Roman"/>
      <w:sz w:val="24"/>
      <w:szCs w:val="24"/>
    </w:rPr>
  </w:style>
  <w:style w:type="character" w:customStyle="1" w:styleId="apple-converted-space">
    <w:name w:val="apple-converted-space"/>
    <w:basedOn w:val="Fuentedeprrafopredeter"/>
    <w:rsid w:val="00902A23"/>
  </w:style>
  <w:style w:type="paragraph" w:customStyle="1" w:styleId="sentencia">
    <w:name w:val="sentencia"/>
    <w:basedOn w:val="Normal"/>
    <w:qFormat/>
    <w:rsid w:val="00B872E5"/>
    <w:pPr>
      <w:spacing w:before="160" w:after="160" w:line="360" w:lineRule="auto"/>
      <w:ind w:firstLine="709"/>
      <w:jc w:val="both"/>
    </w:pPr>
    <w:rPr>
      <w:rFonts w:ascii="Arial" w:hAnsi="Arial" w:cs="Arial"/>
      <w:sz w:val="28"/>
      <w:szCs w:val="28"/>
      <w:lang w:val="es-ES_tradnl"/>
    </w:rPr>
  </w:style>
  <w:style w:type="character" w:customStyle="1" w:styleId="corte4fondoCarCarCar">
    <w:name w:val="corte4 fondo Car Car Car"/>
    <w:rsid w:val="00D4271E"/>
    <w:rPr>
      <w:rFonts w:ascii="Arial" w:hAnsi="Arial"/>
      <w:sz w:val="30"/>
      <w:szCs w:val="24"/>
      <w:lang w:val="es-ES_tradnl"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0948">
      <w:bodyDiv w:val="1"/>
      <w:marLeft w:val="0"/>
      <w:marRight w:val="0"/>
      <w:marTop w:val="0"/>
      <w:marBottom w:val="0"/>
      <w:divBdr>
        <w:top w:val="none" w:sz="0" w:space="0" w:color="auto"/>
        <w:left w:val="none" w:sz="0" w:space="0" w:color="auto"/>
        <w:bottom w:val="none" w:sz="0" w:space="0" w:color="auto"/>
        <w:right w:val="none" w:sz="0" w:space="0" w:color="auto"/>
      </w:divBdr>
      <w:divsChild>
        <w:div w:id="1141651787">
          <w:marLeft w:val="0"/>
          <w:marRight w:val="0"/>
          <w:marTop w:val="0"/>
          <w:marBottom w:val="0"/>
          <w:divBdr>
            <w:top w:val="none" w:sz="0" w:space="0" w:color="auto"/>
            <w:left w:val="none" w:sz="0" w:space="0" w:color="auto"/>
            <w:bottom w:val="none" w:sz="0" w:space="0" w:color="auto"/>
            <w:right w:val="none" w:sz="0" w:space="0" w:color="auto"/>
          </w:divBdr>
          <w:divsChild>
            <w:div w:id="263921104">
              <w:marLeft w:val="0"/>
              <w:marRight w:val="0"/>
              <w:marTop w:val="0"/>
              <w:marBottom w:val="0"/>
              <w:divBdr>
                <w:top w:val="none" w:sz="0" w:space="0" w:color="auto"/>
                <w:left w:val="none" w:sz="0" w:space="0" w:color="auto"/>
                <w:bottom w:val="none" w:sz="0" w:space="0" w:color="auto"/>
                <w:right w:val="none" w:sz="0" w:space="0" w:color="auto"/>
              </w:divBdr>
              <w:divsChild>
                <w:div w:id="8232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2607">
      <w:bodyDiv w:val="1"/>
      <w:marLeft w:val="0"/>
      <w:marRight w:val="0"/>
      <w:marTop w:val="0"/>
      <w:marBottom w:val="0"/>
      <w:divBdr>
        <w:top w:val="none" w:sz="0" w:space="0" w:color="auto"/>
        <w:left w:val="none" w:sz="0" w:space="0" w:color="auto"/>
        <w:bottom w:val="none" w:sz="0" w:space="0" w:color="auto"/>
        <w:right w:val="none" w:sz="0" w:space="0" w:color="auto"/>
      </w:divBdr>
    </w:div>
    <w:div w:id="245067787">
      <w:bodyDiv w:val="1"/>
      <w:marLeft w:val="0"/>
      <w:marRight w:val="0"/>
      <w:marTop w:val="0"/>
      <w:marBottom w:val="0"/>
      <w:divBdr>
        <w:top w:val="none" w:sz="0" w:space="0" w:color="auto"/>
        <w:left w:val="none" w:sz="0" w:space="0" w:color="auto"/>
        <w:bottom w:val="none" w:sz="0" w:space="0" w:color="auto"/>
        <w:right w:val="none" w:sz="0" w:space="0" w:color="auto"/>
      </w:divBdr>
      <w:divsChild>
        <w:div w:id="343869057">
          <w:marLeft w:val="0"/>
          <w:marRight w:val="0"/>
          <w:marTop w:val="0"/>
          <w:marBottom w:val="0"/>
          <w:divBdr>
            <w:top w:val="none" w:sz="0" w:space="0" w:color="auto"/>
            <w:left w:val="none" w:sz="0" w:space="0" w:color="auto"/>
            <w:bottom w:val="none" w:sz="0" w:space="0" w:color="auto"/>
            <w:right w:val="none" w:sz="0" w:space="0" w:color="auto"/>
          </w:divBdr>
          <w:divsChild>
            <w:div w:id="1596404780">
              <w:marLeft w:val="0"/>
              <w:marRight w:val="0"/>
              <w:marTop w:val="0"/>
              <w:marBottom w:val="0"/>
              <w:divBdr>
                <w:top w:val="none" w:sz="0" w:space="0" w:color="auto"/>
                <w:left w:val="none" w:sz="0" w:space="0" w:color="auto"/>
                <w:bottom w:val="none" w:sz="0" w:space="0" w:color="auto"/>
                <w:right w:val="none" w:sz="0" w:space="0" w:color="auto"/>
              </w:divBdr>
              <w:divsChild>
                <w:div w:id="8199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574">
      <w:bodyDiv w:val="1"/>
      <w:marLeft w:val="0"/>
      <w:marRight w:val="0"/>
      <w:marTop w:val="0"/>
      <w:marBottom w:val="0"/>
      <w:divBdr>
        <w:top w:val="none" w:sz="0" w:space="0" w:color="auto"/>
        <w:left w:val="none" w:sz="0" w:space="0" w:color="auto"/>
        <w:bottom w:val="none" w:sz="0" w:space="0" w:color="auto"/>
        <w:right w:val="none" w:sz="0" w:space="0" w:color="auto"/>
      </w:divBdr>
    </w:div>
    <w:div w:id="487288602">
      <w:bodyDiv w:val="1"/>
      <w:marLeft w:val="0"/>
      <w:marRight w:val="0"/>
      <w:marTop w:val="0"/>
      <w:marBottom w:val="0"/>
      <w:divBdr>
        <w:top w:val="none" w:sz="0" w:space="0" w:color="auto"/>
        <w:left w:val="none" w:sz="0" w:space="0" w:color="auto"/>
        <w:bottom w:val="none" w:sz="0" w:space="0" w:color="auto"/>
        <w:right w:val="none" w:sz="0" w:space="0" w:color="auto"/>
      </w:divBdr>
      <w:divsChild>
        <w:div w:id="903218407">
          <w:marLeft w:val="0"/>
          <w:marRight w:val="0"/>
          <w:marTop w:val="0"/>
          <w:marBottom w:val="0"/>
          <w:divBdr>
            <w:top w:val="none" w:sz="0" w:space="0" w:color="auto"/>
            <w:left w:val="none" w:sz="0" w:space="0" w:color="auto"/>
            <w:bottom w:val="none" w:sz="0" w:space="0" w:color="auto"/>
            <w:right w:val="none" w:sz="0" w:space="0" w:color="auto"/>
          </w:divBdr>
          <w:divsChild>
            <w:div w:id="1929459357">
              <w:marLeft w:val="0"/>
              <w:marRight w:val="0"/>
              <w:marTop w:val="0"/>
              <w:marBottom w:val="0"/>
              <w:divBdr>
                <w:top w:val="none" w:sz="0" w:space="0" w:color="auto"/>
                <w:left w:val="none" w:sz="0" w:space="0" w:color="auto"/>
                <w:bottom w:val="none" w:sz="0" w:space="0" w:color="auto"/>
                <w:right w:val="none" w:sz="0" w:space="0" w:color="auto"/>
              </w:divBdr>
              <w:divsChild>
                <w:div w:id="21225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9451">
      <w:bodyDiv w:val="1"/>
      <w:marLeft w:val="0"/>
      <w:marRight w:val="0"/>
      <w:marTop w:val="0"/>
      <w:marBottom w:val="0"/>
      <w:divBdr>
        <w:top w:val="none" w:sz="0" w:space="0" w:color="auto"/>
        <w:left w:val="none" w:sz="0" w:space="0" w:color="auto"/>
        <w:bottom w:val="none" w:sz="0" w:space="0" w:color="auto"/>
        <w:right w:val="none" w:sz="0" w:space="0" w:color="auto"/>
      </w:divBdr>
      <w:divsChild>
        <w:div w:id="745766752">
          <w:marLeft w:val="0"/>
          <w:marRight w:val="0"/>
          <w:marTop w:val="0"/>
          <w:marBottom w:val="0"/>
          <w:divBdr>
            <w:top w:val="none" w:sz="0" w:space="0" w:color="auto"/>
            <w:left w:val="none" w:sz="0" w:space="0" w:color="auto"/>
            <w:bottom w:val="none" w:sz="0" w:space="0" w:color="auto"/>
            <w:right w:val="none" w:sz="0" w:space="0" w:color="auto"/>
          </w:divBdr>
          <w:divsChild>
            <w:div w:id="1378166457">
              <w:marLeft w:val="0"/>
              <w:marRight w:val="0"/>
              <w:marTop w:val="0"/>
              <w:marBottom w:val="0"/>
              <w:divBdr>
                <w:top w:val="none" w:sz="0" w:space="0" w:color="auto"/>
                <w:left w:val="none" w:sz="0" w:space="0" w:color="auto"/>
                <w:bottom w:val="none" w:sz="0" w:space="0" w:color="auto"/>
                <w:right w:val="none" w:sz="0" w:space="0" w:color="auto"/>
              </w:divBdr>
              <w:divsChild>
                <w:div w:id="3692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11112">
      <w:bodyDiv w:val="1"/>
      <w:marLeft w:val="0"/>
      <w:marRight w:val="0"/>
      <w:marTop w:val="0"/>
      <w:marBottom w:val="0"/>
      <w:divBdr>
        <w:top w:val="none" w:sz="0" w:space="0" w:color="auto"/>
        <w:left w:val="none" w:sz="0" w:space="0" w:color="auto"/>
        <w:bottom w:val="none" w:sz="0" w:space="0" w:color="auto"/>
        <w:right w:val="none" w:sz="0" w:space="0" w:color="auto"/>
      </w:divBdr>
    </w:div>
    <w:div w:id="646132527">
      <w:bodyDiv w:val="1"/>
      <w:marLeft w:val="0"/>
      <w:marRight w:val="0"/>
      <w:marTop w:val="0"/>
      <w:marBottom w:val="0"/>
      <w:divBdr>
        <w:top w:val="none" w:sz="0" w:space="0" w:color="auto"/>
        <w:left w:val="none" w:sz="0" w:space="0" w:color="auto"/>
        <w:bottom w:val="none" w:sz="0" w:space="0" w:color="auto"/>
        <w:right w:val="none" w:sz="0" w:space="0" w:color="auto"/>
      </w:divBdr>
    </w:div>
    <w:div w:id="701133911">
      <w:bodyDiv w:val="1"/>
      <w:marLeft w:val="0"/>
      <w:marRight w:val="0"/>
      <w:marTop w:val="0"/>
      <w:marBottom w:val="0"/>
      <w:divBdr>
        <w:top w:val="none" w:sz="0" w:space="0" w:color="auto"/>
        <w:left w:val="none" w:sz="0" w:space="0" w:color="auto"/>
        <w:bottom w:val="none" w:sz="0" w:space="0" w:color="auto"/>
        <w:right w:val="none" w:sz="0" w:space="0" w:color="auto"/>
      </w:divBdr>
    </w:div>
    <w:div w:id="730234271">
      <w:bodyDiv w:val="1"/>
      <w:marLeft w:val="0"/>
      <w:marRight w:val="0"/>
      <w:marTop w:val="0"/>
      <w:marBottom w:val="0"/>
      <w:divBdr>
        <w:top w:val="none" w:sz="0" w:space="0" w:color="auto"/>
        <w:left w:val="none" w:sz="0" w:space="0" w:color="auto"/>
        <w:bottom w:val="none" w:sz="0" w:space="0" w:color="auto"/>
        <w:right w:val="none" w:sz="0" w:space="0" w:color="auto"/>
      </w:divBdr>
      <w:divsChild>
        <w:div w:id="230888597">
          <w:marLeft w:val="0"/>
          <w:marRight w:val="0"/>
          <w:marTop w:val="0"/>
          <w:marBottom w:val="0"/>
          <w:divBdr>
            <w:top w:val="none" w:sz="0" w:space="0" w:color="auto"/>
            <w:left w:val="none" w:sz="0" w:space="0" w:color="auto"/>
            <w:bottom w:val="none" w:sz="0" w:space="0" w:color="auto"/>
            <w:right w:val="none" w:sz="0" w:space="0" w:color="auto"/>
          </w:divBdr>
          <w:divsChild>
            <w:div w:id="1563564995">
              <w:marLeft w:val="0"/>
              <w:marRight w:val="0"/>
              <w:marTop w:val="0"/>
              <w:marBottom w:val="0"/>
              <w:divBdr>
                <w:top w:val="none" w:sz="0" w:space="0" w:color="auto"/>
                <w:left w:val="none" w:sz="0" w:space="0" w:color="auto"/>
                <w:bottom w:val="none" w:sz="0" w:space="0" w:color="auto"/>
                <w:right w:val="none" w:sz="0" w:space="0" w:color="auto"/>
              </w:divBdr>
              <w:divsChild>
                <w:div w:id="21051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6987">
      <w:bodyDiv w:val="1"/>
      <w:marLeft w:val="0"/>
      <w:marRight w:val="0"/>
      <w:marTop w:val="0"/>
      <w:marBottom w:val="0"/>
      <w:divBdr>
        <w:top w:val="none" w:sz="0" w:space="0" w:color="auto"/>
        <w:left w:val="none" w:sz="0" w:space="0" w:color="auto"/>
        <w:bottom w:val="none" w:sz="0" w:space="0" w:color="auto"/>
        <w:right w:val="none" w:sz="0" w:space="0" w:color="auto"/>
      </w:divBdr>
    </w:div>
    <w:div w:id="774012855">
      <w:bodyDiv w:val="1"/>
      <w:marLeft w:val="0"/>
      <w:marRight w:val="0"/>
      <w:marTop w:val="0"/>
      <w:marBottom w:val="0"/>
      <w:divBdr>
        <w:top w:val="none" w:sz="0" w:space="0" w:color="auto"/>
        <w:left w:val="none" w:sz="0" w:space="0" w:color="auto"/>
        <w:bottom w:val="none" w:sz="0" w:space="0" w:color="auto"/>
        <w:right w:val="none" w:sz="0" w:space="0" w:color="auto"/>
      </w:divBdr>
      <w:divsChild>
        <w:div w:id="346953841">
          <w:marLeft w:val="0"/>
          <w:marRight w:val="0"/>
          <w:marTop w:val="0"/>
          <w:marBottom w:val="0"/>
          <w:divBdr>
            <w:top w:val="none" w:sz="0" w:space="0" w:color="auto"/>
            <w:left w:val="none" w:sz="0" w:space="0" w:color="auto"/>
            <w:bottom w:val="none" w:sz="0" w:space="0" w:color="auto"/>
            <w:right w:val="none" w:sz="0" w:space="0" w:color="auto"/>
          </w:divBdr>
        </w:div>
        <w:div w:id="1117408743">
          <w:marLeft w:val="0"/>
          <w:marRight w:val="0"/>
          <w:marTop w:val="0"/>
          <w:marBottom w:val="0"/>
          <w:divBdr>
            <w:top w:val="none" w:sz="0" w:space="0" w:color="auto"/>
            <w:left w:val="none" w:sz="0" w:space="0" w:color="auto"/>
            <w:bottom w:val="none" w:sz="0" w:space="0" w:color="auto"/>
            <w:right w:val="none" w:sz="0" w:space="0" w:color="auto"/>
          </w:divBdr>
        </w:div>
      </w:divsChild>
    </w:div>
    <w:div w:id="807668424">
      <w:bodyDiv w:val="1"/>
      <w:marLeft w:val="0"/>
      <w:marRight w:val="0"/>
      <w:marTop w:val="0"/>
      <w:marBottom w:val="0"/>
      <w:divBdr>
        <w:top w:val="none" w:sz="0" w:space="0" w:color="auto"/>
        <w:left w:val="none" w:sz="0" w:space="0" w:color="auto"/>
        <w:bottom w:val="none" w:sz="0" w:space="0" w:color="auto"/>
        <w:right w:val="none" w:sz="0" w:space="0" w:color="auto"/>
      </w:divBdr>
    </w:div>
    <w:div w:id="816454732">
      <w:bodyDiv w:val="1"/>
      <w:marLeft w:val="0"/>
      <w:marRight w:val="0"/>
      <w:marTop w:val="0"/>
      <w:marBottom w:val="0"/>
      <w:divBdr>
        <w:top w:val="none" w:sz="0" w:space="0" w:color="auto"/>
        <w:left w:val="none" w:sz="0" w:space="0" w:color="auto"/>
        <w:bottom w:val="none" w:sz="0" w:space="0" w:color="auto"/>
        <w:right w:val="none" w:sz="0" w:space="0" w:color="auto"/>
      </w:divBdr>
    </w:div>
    <w:div w:id="930158431">
      <w:bodyDiv w:val="1"/>
      <w:marLeft w:val="0"/>
      <w:marRight w:val="0"/>
      <w:marTop w:val="0"/>
      <w:marBottom w:val="0"/>
      <w:divBdr>
        <w:top w:val="none" w:sz="0" w:space="0" w:color="auto"/>
        <w:left w:val="none" w:sz="0" w:space="0" w:color="auto"/>
        <w:bottom w:val="none" w:sz="0" w:space="0" w:color="auto"/>
        <w:right w:val="none" w:sz="0" w:space="0" w:color="auto"/>
      </w:divBdr>
      <w:divsChild>
        <w:div w:id="343898590">
          <w:marLeft w:val="0"/>
          <w:marRight w:val="0"/>
          <w:marTop w:val="0"/>
          <w:marBottom w:val="0"/>
          <w:divBdr>
            <w:top w:val="none" w:sz="0" w:space="0" w:color="auto"/>
            <w:left w:val="none" w:sz="0" w:space="0" w:color="auto"/>
            <w:bottom w:val="none" w:sz="0" w:space="0" w:color="auto"/>
            <w:right w:val="none" w:sz="0" w:space="0" w:color="auto"/>
          </w:divBdr>
        </w:div>
        <w:div w:id="1461001159">
          <w:marLeft w:val="0"/>
          <w:marRight w:val="0"/>
          <w:marTop w:val="0"/>
          <w:marBottom w:val="0"/>
          <w:divBdr>
            <w:top w:val="none" w:sz="0" w:space="0" w:color="auto"/>
            <w:left w:val="none" w:sz="0" w:space="0" w:color="auto"/>
            <w:bottom w:val="none" w:sz="0" w:space="0" w:color="auto"/>
            <w:right w:val="none" w:sz="0" w:space="0" w:color="auto"/>
          </w:divBdr>
        </w:div>
      </w:divsChild>
    </w:div>
    <w:div w:id="1026785235">
      <w:bodyDiv w:val="1"/>
      <w:marLeft w:val="0"/>
      <w:marRight w:val="0"/>
      <w:marTop w:val="0"/>
      <w:marBottom w:val="0"/>
      <w:divBdr>
        <w:top w:val="none" w:sz="0" w:space="0" w:color="auto"/>
        <w:left w:val="none" w:sz="0" w:space="0" w:color="auto"/>
        <w:bottom w:val="none" w:sz="0" w:space="0" w:color="auto"/>
        <w:right w:val="none" w:sz="0" w:space="0" w:color="auto"/>
      </w:divBdr>
    </w:div>
    <w:div w:id="1093672321">
      <w:bodyDiv w:val="1"/>
      <w:marLeft w:val="0"/>
      <w:marRight w:val="0"/>
      <w:marTop w:val="0"/>
      <w:marBottom w:val="0"/>
      <w:divBdr>
        <w:top w:val="none" w:sz="0" w:space="0" w:color="auto"/>
        <w:left w:val="none" w:sz="0" w:space="0" w:color="auto"/>
        <w:bottom w:val="none" w:sz="0" w:space="0" w:color="auto"/>
        <w:right w:val="none" w:sz="0" w:space="0" w:color="auto"/>
      </w:divBdr>
    </w:div>
    <w:div w:id="1172646146">
      <w:bodyDiv w:val="1"/>
      <w:marLeft w:val="0"/>
      <w:marRight w:val="0"/>
      <w:marTop w:val="0"/>
      <w:marBottom w:val="0"/>
      <w:divBdr>
        <w:top w:val="none" w:sz="0" w:space="0" w:color="auto"/>
        <w:left w:val="none" w:sz="0" w:space="0" w:color="auto"/>
        <w:bottom w:val="none" w:sz="0" w:space="0" w:color="auto"/>
        <w:right w:val="none" w:sz="0" w:space="0" w:color="auto"/>
      </w:divBdr>
    </w:div>
    <w:div w:id="1436361402">
      <w:bodyDiv w:val="1"/>
      <w:marLeft w:val="0"/>
      <w:marRight w:val="0"/>
      <w:marTop w:val="0"/>
      <w:marBottom w:val="0"/>
      <w:divBdr>
        <w:top w:val="none" w:sz="0" w:space="0" w:color="auto"/>
        <w:left w:val="none" w:sz="0" w:space="0" w:color="auto"/>
        <w:bottom w:val="none" w:sz="0" w:space="0" w:color="auto"/>
        <w:right w:val="none" w:sz="0" w:space="0" w:color="auto"/>
      </w:divBdr>
    </w:div>
    <w:div w:id="1460608257">
      <w:bodyDiv w:val="1"/>
      <w:marLeft w:val="0"/>
      <w:marRight w:val="0"/>
      <w:marTop w:val="0"/>
      <w:marBottom w:val="0"/>
      <w:divBdr>
        <w:top w:val="none" w:sz="0" w:space="0" w:color="auto"/>
        <w:left w:val="none" w:sz="0" w:space="0" w:color="auto"/>
        <w:bottom w:val="none" w:sz="0" w:space="0" w:color="auto"/>
        <w:right w:val="none" w:sz="0" w:space="0" w:color="auto"/>
      </w:divBdr>
      <w:divsChild>
        <w:div w:id="103768413">
          <w:marLeft w:val="0"/>
          <w:marRight w:val="0"/>
          <w:marTop w:val="0"/>
          <w:marBottom w:val="0"/>
          <w:divBdr>
            <w:top w:val="none" w:sz="0" w:space="0" w:color="auto"/>
            <w:left w:val="none" w:sz="0" w:space="0" w:color="auto"/>
            <w:bottom w:val="none" w:sz="0" w:space="0" w:color="auto"/>
            <w:right w:val="none" w:sz="0" w:space="0" w:color="auto"/>
          </w:divBdr>
          <w:divsChild>
            <w:div w:id="720322735">
              <w:marLeft w:val="0"/>
              <w:marRight w:val="0"/>
              <w:marTop w:val="0"/>
              <w:marBottom w:val="0"/>
              <w:divBdr>
                <w:top w:val="none" w:sz="0" w:space="0" w:color="auto"/>
                <w:left w:val="none" w:sz="0" w:space="0" w:color="auto"/>
                <w:bottom w:val="none" w:sz="0" w:space="0" w:color="auto"/>
                <w:right w:val="none" w:sz="0" w:space="0" w:color="auto"/>
              </w:divBdr>
              <w:divsChild>
                <w:div w:id="74013140">
                  <w:marLeft w:val="0"/>
                  <w:marRight w:val="0"/>
                  <w:marTop w:val="0"/>
                  <w:marBottom w:val="0"/>
                  <w:divBdr>
                    <w:top w:val="none" w:sz="0" w:space="0" w:color="auto"/>
                    <w:left w:val="none" w:sz="0" w:space="0" w:color="auto"/>
                    <w:bottom w:val="none" w:sz="0" w:space="0" w:color="auto"/>
                    <w:right w:val="none" w:sz="0" w:space="0" w:color="auto"/>
                  </w:divBdr>
                  <w:divsChild>
                    <w:div w:id="1375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47660">
      <w:bodyDiv w:val="1"/>
      <w:marLeft w:val="0"/>
      <w:marRight w:val="0"/>
      <w:marTop w:val="0"/>
      <w:marBottom w:val="0"/>
      <w:divBdr>
        <w:top w:val="none" w:sz="0" w:space="0" w:color="auto"/>
        <w:left w:val="none" w:sz="0" w:space="0" w:color="auto"/>
        <w:bottom w:val="none" w:sz="0" w:space="0" w:color="auto"/>
        <w:right w:val="none" w:sz="0" w:space="0" w:color="auto"/>
      </w:divBdr>
    </w:div>
    <w:div w:id="1526822001">
      <w:bodyDiv w:val="1"/>
      <w:marLeft w:val="0"/>
      <w:marRight w:val="0"/>
      <w:marTop w:val="0"/>
      <w:marBottom w:val="0"/>
      <w:divBdr>
        <w:top w:val="none" w:sz="0" w:space="0" w:color="auto"/>
        <w:left w:val="none" w:sz="0" w:space="0" w:color="auto"/>
        <w:bottom w:val="none" w:sz="0" w:space="0" w:color="auto"/>
        <w:right w:val="none" w:sz="0" w:space="0" w:color="auto"/>
      </w:divBdr>
    </w:div>
    <w:div w:id="1545483011">
      <w:bodyDiv w:val="1"/>
      <w:marLeft w:val="0"/>
      <w:marRight w:val="0"/>
      <w:marTop w:val="0"/>
      <w:marBottom w:val="0"/>
      <w:divBdr>
        <w:top w:val="none" w:sz="0" w:space="0" w:color="auto"/>
        <w:left w:val="none" w:sz="0" w:space="0" w:color="auto"/>
        <w:bottom w:val="none" w:sz="0" w:space="0" w:color="auto"/>
        <w:right w:val="none" w:sz="0" w:space="0" w:color="auto"/>
      </w:divBdr>
    </w:div>
    <w:div w:id="1904290968">
      <w:bodyDiv w:val="1"/>
      <w:marLeft w:val="0"/>
      <w:marRight w:val="0"/>
      <w:marTop w:val="0"/>
      <w:marBottom w:val="0"/>
      <w:divBdr>
        <w:top w:val="none" w:sz="0" w:space="0" w:color="auto"/>
        <w:left w:val="none" w:sz="0" w:space="0" w:color="auto"/>
        <w:bottom w:val="none" w:sz="0" w:space="0" w:color="auto"/>
        <w:right w:val="none" w:sz="0" w:space="0" w:color="auto"/>
      </w:divBdr>
    </w:div>
    <w:div w:id="19660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eriodicooficial.oaxaca.gob.mx/files/2023/12/SEC52-07MA-2023-12-3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748C-AEB3-4EFC-BA11-2B31F19D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14091</Words>
  <Characters>77505</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91414</CharactersWithSpaces>
  <SharedDoc>false</SharedDoc>
  <HLinks>
    <vt:vector size="6" baseType="variant">
      <vt:variant>
        <vt:i4>6226002</vt:i4>
      </vt:variant>
      <vt:variant>
        <vt:i4>0</vt:i4>
      </vt:variant>
      <vt:variant>
        <vt:i4>0</vt:i4>
      </vt:variant>
      <vt:variant>
        <vt:i4>5</vt:i4>
      </vt:variant>
      <vt:variant>
        <vt:lpwstr>http://www.periodicooficial.oaxaca.gob.mx/files/2023/12/SEC52-07MA-2023-12-30.pdf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ANGULO LEYVA</dc:creator>
  <cp:keywords/>
  <dc:description/>
  <cp:lastModifiedBy>Liliana Moreno González</cp:lastModifiedBy>
  <cp:revision>2</cp:revision>
  <cp:lastPrinted>2024-08-27T18:46:00Z</cp:lastPrinted>
  <dcterms:created xsi:type="dcterms:W3CDTF">2025-05-14T16:44:00Z</dcterms:created>
  <dcterms:modified xsi:type="dcterms:W3CDTF">2025-05-14T16:44:00Z</dcterms:modified>
</cp:coreProperties>
</file>